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FA44F">
      <w:pPr>
        <w:pStyle w:val="7"/>
        <w:keepNext w:val="0"/>
        <w:keepLines w:val="0"/>
        <w:pageBreakBefore w:val="0"/>
        <w:kinsoku/>
        <w:overflowPunct/>
        <w:topLinePunct w:val="0"/>
        <w:autoSpaceDE/>
        <w:autoSpaceDN/>
        <w:bidi w:val="0"/>
        <w:adjustRightInd/>
        <w:snapToGrid/>
        <w:spacing w:line="240" w:lineRule="auto"/>
        <w:jc w:val="center"/>
        <w:textAlignment w:val="auto"/>
        <w:outlineLvl w:val="1"/>
        <w:rPr>
          <w:rFonts w:hint="eastAsia" w:ascii="宋体" w:hAnsi="宋体" w:eastAsia="宋体" w:cs="宋体"/>
          <w:b/>
          <w:color w:val="auto"/>
          <w:sz w:val="36"/>
          <w:highlight w:val="none"/>
        </w:rPr>
      </w:pPr>
      <w:r>
        <w:rPr>
          <w:rFonts w:hint="eastAsia" w:ascii="宋体" w:hAnsi="宋体" w:eastAsia="宋体" w:cs="宋体"/>
          <w:b/>
          <w:color w:val="auto"/>
          <w:sz w:val="36"/>
          <w:highlight w:val="none"/>
        </w:rPr>
        <w:t>民众街道2026年至2029年度市政设施维护管养项目 采购需求</w:t>
      </w:r>
    </w:p>
    <w:p w14:paraId="4CD28067">
      <w:pPr>
        <w:pStyle w:val="7"/>
        <w:keepNext w:val="0"/>
        <w:keepLines w:val="0"/>
        <w:pageBreakBefore w:val="0"/>
        <w:kinsoku/>
        <w:overflowPunct/>
        <w:topLinePunct w:val="0"/>
        <w:autoSpaceDE/>
        <w:autoSpaceDN/>
        <w:bidi w:val="0"/>
        <w:adjustRightInd/>
        <w:snapToGrid/>
        <w:spacing w:line="240" w:lineRule="auto"/>
        <w:jc w:val="center"/>
        <w:textAlignment w:val="auto"/>
        <w:outlineLvl w:val="1"/>
        <w:rPr>
          <w:rFonts w:hint="eastAsia" w:ascii="宋体" w:hAnsi="宋体" w:eastAsia="宋体" w:cs="宋体"/>
          <w:b/>
          <w:color w:val="auto"/>
          <w:sz w:val="24"/>
          <w:szCs w:val="15"/>
          <w:highlight w:val="none"/>
          <w:lang w:eastAsia="zh-CN"/>
        </w:rPr>
      </w:pPr>
      <w:r>
        <w:rPr>
          <w:rFonts w:hint="eastAsia" w:ascii="宋体" w:hAnsi="宋体" w:eastAsia="宋体" w:cs="宋体"/>
          <w:b/>
          <w:color w:val="auto"/>
          <w:sz w:val="24"/>
          <w:szCs w:val="15"/>
          <w:highlight w:val="none"/>
          <w:lang w:eastAsia="zh-CN"/>
        </w:rPr>
        <w:t>（</w:t>
      </w:r>
      <w:r>
        <w:rPr>
          <w:rFonts w:hint="eastAsia" w:ascii="宋体" w:hAnsi="宋体" w:eastAsia="宋体" w:cs="宋体"/>
          <w:b/>
          <w:color w:val="auto"/>
          <w:sz w:val="24"/>
          <w:szCs w:val="15"/>
          <w:highlight w:val="none"/>
          <w:lang w:val="en-US" w:eastAsia="zh-CN"/>
        </w:rPr>
        <w:t>征求意见稿</w:t>
      </w:r>
      <w:r>
        <w:rPr>
          <w:rFonts w:hint="eastAsia" w:ascii="宋体" w:hAnsi="宋体" w:eastAsia="宋体" w:cs="宋体"/>
          <w:b/>
          <w:color w:val="auto"/>
          <w:sz w:val="24"/>
          <w:szCs w:val="15"/>
          <w:highlight w:val="none"/>
          <w:lang w:eastAsia="zh-CN"/>
        </w:rPr>
        <w:t>）</w:t>
      </w:r>
    </w:p>
    <w:p w14:paraId="189229FE">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b/>
          <w:color w:val="auto"/>
          <w:highlight w:val="none"/>
        </w:rPr>
      </w:pPr>
      <w:r>
        <w:rPr>
          <w:rFonts w:hint="eastAsia" w:ascii="宋体" w:hAnsi="宋体" w:eastAsia="宋体" w:cs="宋体"/>
          <w:b/>
          <w:color w:val="auto"/>
          <w:sz w:val="21"/>
          <w:highlight w:val="none"/>
        </w:rPr>
        <w:t>一、项目概况：</w:t>
      </w:r>
    </w:p>
    <w:p w14:paraId="07BF69C1">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1、采购项目：</w:t>
      </w:r>
      <w:r>
        <w:rPr>
          <w:rFonts w:hint="eastAsia" w:ascii="宋体" w:hAnsi="宋体" w:cs="宋体"/>
          <w:color w:val="auto"/>
          <w:sz w:val="21"/>
          <w:highlight w:val="none"/>
          <w:lang w:eastAsia="zh-CN"/>
        </w:rPr>
        <w:t>民众街道2026年至2029年度市政设施维护管养项目</w:t>
      </w:r>
      <w:r>
        <w:rPr>
          <w:rFonts w:hint="eastAsia" w:ascii="宋体" w:hAnsi="宋体" w:eastAsia="宋体" w:cs="宋体"/>
          <w:color w:val="auto"/>
          <w:sz w:val="21"/>
          <w:highlight w:val="none"/>
        </w:rPr>
        <w:t>，投标人必须对所有招标内容进行投标，不允许只对其中部分内容进行投标或报价。</w:t>
      </w:r>
    </w:p>
    <w:p w14:paraId="339D70F2">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w:t>
      </w:r>
      <w:r>
        <w:rPr>
          <w:rFonts w:hint="eastAsia"/>
          <w:color w:val="auto"/>
          <w:sz w:val="21"/>
          <w:highlight w:val="none"/>
        </w:rPr>
        <w:t>★投标报价包括了受托范围的质量达标、人工、社保、保险、设备添置、材料、机械、安全生产、文明施工、垃圾收集、垃圾清运、市政设施维修、设施被盗、道路防爬网维护、环境优化和小型设施修复、办公费用、公众责任险保险费、税金、“三防”工作及元旦、春节、五一、中秋、国庆等重要节日及各类创建、迎检等重大活动的强化维护管养费用，由市政设施综合管养作业产生的其他全部费用，以及中标供应商须承担为完成任务所发生的一切预见和不可预见费用。</w:t>
      </w:r>
    </w:p>
    <w:p w14:paraId="612BD178">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rPr>
        <w:t>、中标人不得以任何方式转包或违法分包本项目。</w:t>
      </w:r>
    </w:p>
    <w:p w14:paraId="18D632FB">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rPr>
        <w:t>、采购需求中打“★”号条款为实质性条款，若有任何一条负偏离或不满足则导致投标无效。 打“▲”号条款为重要技术参数（如有），若有部分“▲”条款未响应或不满足，将根据评审要求影响其得分，但不作为无效投标条款。</w:t>
      </w:r>
    </w:p>
    <w:p w14:paraId="2E9A9ACE">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5</w:t>
      </w:r>
      <w:r>
        <w:rPr>
          <w:rFonts w:hint="eastAsia" w:ascii="宋体" w:hAnsi="宋体" w:eastAsia="宋体" w:cs="宋体"/>
          <w:color w:val="auto"/>
          <w:sz w:val="21"/>
          <w:highlight w:val="none"/>
        </w:rPr>
        <w:t>、本项目由中标人负责招标文件对中标人要求的一切事宜及责任，包括管养范围内的设施的供货、运输、保管、防盗、安装、调试、验收、修复、保养及相关服务等。如果投标人在中标并签署合同后，在项目实施过程中出现报价内容的任何遗漏，均由中标人提供，采购人将不再支付任何费用。</w:t>
      </w:r>
    </w:p>
    <w:p w14:paraId="37C5E5F2">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6、</w:t>
      </w:r>
      <w:r>
        <w:rPr>
          <w:rFonts w:hint="eastAsia" w:ascii="宋体" w:hAnsi="宋体" w:eastAsia="宋体" w:cs="宋体"/>
          <w:color w:val="auto"/>
          <w:sz w:val="21"/>
          <w:highlight w:val="none"/>
          <w:lang w:eastAsia="zh-CN"/>
        </w:rPr>
        <w:t>本项目严格执行关于“强化政府采购异常低价审查”的要求（财政部《关于推动解决政府采购异常低价问题的通知》财库〔2026〕2号），具体执行内容如下：</w:t>
      </w:r>
    </w:p>
    <w:p w14:paraId="2FB736B0">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6.1</w:t>
      </w:r>
      <w:r>
        <w:rPr>
          <w:rFonts w:hint="eastAsia" w:ascii="宋体" w:hAnsi="宋体" w:eastAsia="宋体" w:cs="宋体"/>
          <w:color w:val="auto"/>
          <w:sz w:val="21"/>
          <w:highlight w:val="none"/>
          <w:lang w:eastAsia="zh-CN"/>
        </w:rPr>
        <w:t>政府采购评审中出现下列情形之一的，评审委员会应当启动异常低价投标（响应）审查程序：</w:t>
      </w:r>
    </w:p>
    <w:p w14:paraId="1214C4D3">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6.1.1</w:t>
      </w:r>
      <w:r>
        <w:rPr>
          <w:rFonts w:hint="eastAsia" w:ascii="宋体" w:hAnsi="宋体" w:eastAsia="宋体" w:cs="宋体"/>
          <w:color w:val="auto"/>
          <w:sz w:val="21"/>
          <w:highlight w:val="none"/>
          <w:lang w:eastAsia="zh-CN"/>
        </w:rPr>
        <w:t>投标（响应）报价低于全部通过符合性审查供应商投标（响应）报价平均值50%的，即投标（响应）报价&lt;全部通过符合性审查供应商投标（响应）报价平均值×50%；</w:t>
      </w:r>
    </w:p>
    <w:p w14:paraId="56A196F2">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6.1.2</w:t>
      </w:r>
      <w:r>
        <w:rPr>
          <w:rFonts w:hint="eastAsia" w:ascii="宋体" w:hAnsi="宋体" w:eastAsia="宋体" w:cs="宋体"/>
          <w:color w:val="auto"/>
          <w:sz w:val="21"/>
          <w:highlight w:val="none"/>
          <w:lang w:eastAsia="zh-CN"/>
        </w:rPr>
        <w:t>投标（响应）报价低于通过符合性审查的次低报价供应商投标（响应）报价50%的，即投标（响应）报价&lt;通过符合性审查的次低报价供应商投标（响应）报价×50%；</w:t>
      </w:r>
    </w:p>
    <w:p w14:paraId="6E113AA9">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6.1.3</w:t>
      </w:r>
      <w:r>
        <w:rPr>
          <w:rFonts w:hint="eastAsia" w:ascii="宋体" w:hAnsi="宋体" w:eastAsia="宋体" w:cs="宋体"/>
          <w:color w:val="auto"/>
          <w:sz w:val="21"/>
          <w:highlight w:val="none"/>
          <w:lang w:eastAsia="zh-CN"/>
        </w:rPr>
        <w:t>投标（响应）报价低于采购项目最高限价45%的，即投标（响应）报价&lt;采购项目最高限价×45%；</w:t>
      </w:r>
    </w:p>
    <w:p w14:paraId="52FB59F9">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6.1.4</w:t>
      </w:r>
      <w:r>
        <w:rPr>
          <w:rFonts w:hint="eastAsia" w:ascii="宋体" w:hAnsi="宋体" w:eastAsia="宋体" w:cs="宋体"/>
          <w:color w:val="auto"/>
          <w:sz w:val="21"/>
          <w:highlight w:val="none"/>
          <w:lang w:eastAsia="zh-CN"/>
        </w:rPr>
        <w:t>评审委员会基于专业判断，认为供应商报价过低，有可能影响产品质量或者不能诚信履约的其他情形。</w:t>
      </w:r>
    </w:p>
    <w:p w14:paraId="52CBD597">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6.2</w:t>
      </w:r>
      <w:r>
        <w:rPr>
          <w:rFonts w:hint="eastAsia" w:ascii="宋体" w:hAnsi="宋体" w:eastAsia="宋体" w:cs="宋体"/>
          <w:color w:val="auto"/>
          <w:sz w:val="21"/>
          <w:highlight w:val="none"/>
          <w:lang w:eastAsia="zh-CN"/>
        </w:rPr>
        <w:t>评审委员会启动异常低价投标（响应）审查后，属于前述第1）项至第4）项情形的，投标人须提供项目具体成本测算等与报价合理性相关的书面说明及必要的证明材料，包括但不限于原材料成本、人工成本、制造费用等。其中，属于第3）项情形，投标人已随投标（响应）文件一并提交相关书面说明及必要的证明材料的，在评审现场可不再重复提交。</w:t>
      </w:r>
    </w:p>
    <w:p w14:paraId="6862453C">
      <w:pPr>
        <w:keepNext w:val="0"/>
        <w:keepLines w:val="0"/>
        <w:pageBreakBefore w:val="0"/>
        <w:kinsoku/>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6.3</w:t>
      </w:r>
      <w:r>
        <w:rPr>
          <w:rFonts w:hint="eastAsia" w:ascii="宋体" w:hAnsi="宋体" w:eastAsia="宋体" w:cs="宋体"/>
          <w:color w:val="auto"/>
          <w:sz w:val="21"/>
          <w:highlight w:val="none"/>
          <w:lang w:eastAsia="zh-CN"/>
        </w:rPr>
        <w:t>投标人于指定时间内不能提供书面说明、证明材料，或者提供的书面说明、证明材料不能证明其报价合理性的，评审委员会应当将其作为无效投标（响应）处理。</w:t>
      </w:r>
    </w:p>
    <w:p w14:paraId="61584A5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lang w:val="en-US" w:eastAsia="zh-CN"/>
        </w:rPr>
        <w:t>二</w:t>
      </w:r>
      <w:r>
        <w:rPr>
          <w:rFonts w:hint="eastAsia" w:ascii="宋体" w:hAnsi="宋体" w:eastAsia="宋体" w:cs="宋体"/>
          <w:b/>
          <w:color w:val="auto"/>
          <w:sz w:val="21"/>
          <w:highlight w:val="none"/>
        </w:rPr>
        <w:t>、服务内容：</w:t>
      </w:r>
    </w:p>
    <w:p w14:paraId="1C0FCF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1、本项目维护管养内容包括：街道主次干道、人行道、市政桥梁、广场、公园、公厕等公共场所市政基础设施、消防栓、文体设施、儿童游乐设施的维护，路面破损修补、防洪排涝应急处突、道路交叉口改造、</w:t>
      </w:r>
      <w:r>
        <w:rPr>
          <w:rFonts w:hint="eastAsia"/>
          <w:color w:val="auto"/>
          <w:sz w:val="21"/>
          <w:highlight w:val="none"/>
          <w:lang w:eastAsia="zh-CN"/>
        </w:rPr>
        <w:t>市政基础设施电线电路</w:t>
      </w:r>
      <w:r>
        <w:rPr>
          <w:rFonts w:hint="eastAsia"/>
          <w:color w:val="auto"/>
          <w:sz w:val="21"/>
          <w:highlight w:val="none"/>
          <w:lang w:val="en-US" w:eastAsia="zh-CN"/>
        </w:rPr>
        <w:t>维护</w:t>
      </w:r>
      <w:r>
        <w:rPr>
          <w:rFonts w:hint="eastAsia"/>
          <w:color w:val="auto"/>
          <w:sz w:val="21"/>
          <w:highlight w:val="none"/>
          <w:lang w:eastAsia="zh-CN"/>
        </w:rPr>
        <w:t>、</w:t>
      </w:r>
      <w:r>
        <w:rPr>
          <w:rFonts w:hint="eastAsia" w:ascii="宋体" w:hAnsi="宋体" w:eastAsia="宋体" w:cs="宋体"/>
          <w:color w:val="auto"/>
          <w:sz w:val="21"/>
          <w:highlight w:val="none"/>
        </w:rPr>
        <w:t>变压器维护维修、垃圾压缩箱及垃圾收集压缩站点日常设施设备、环保治理设施维护维修等工作。</w:t>
      </w:r>
    </w:p>
    <w:p w14:paraId="3E4BAE7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2、具体内容如下：</w:t>
      </w:r>
    </w:p>
    <w:p w14:paraId="0AD1B28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2.1约300</w:t>
      </w:r>
      <w:r>
        <w:rPr>
          <w:rFonts w:hint="eastAsia" w:ascii="宋体" w:hAnsi="宋体" w:eastAsia="宋体" w:cs="宋体"/>
          <w:color w:val="auto"/>
          <w:sz w:val="21"/>
          <w:highlight w:val="none"/>
        </w:rPr>
        <w:t>条市政道路及相关设施；</w:t>
      </w:r>
    </w:p>
    <w:p w14:paraId="1DABD6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2.1民众公园</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锦丰公园、南中高速桥下公园</w:t>
      </w:r>
      <w:r>
        <w:rPr>
          <w:rFonts w:hint="eastAsia" w:ascii="宋体" w:hAnsi="宋体" w:eastAsia="宋体" w:cs="宋体"/>
          <w:color w:val="auto"/>
          <w:sz w:val="21"/>
          <w:highlight w:val="none"/>
        </w:rPr>
        <w:t>等；</w:t>
      </w:r>
    </w:p>
    <w:p w14:paraId="3ED3E5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2.3文化广场</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四最园</w:t>
      </w:r>
      <w:r>
        <w:rPr>
          <w:rFonts w:hint="eastAsia" w:ascii="宋体" w:hAnsi="宋体" w:eastAsia="宋体" w:cs="宋体"/>
          <w:color w:val="auto"/>
          <w:sz w:val="21"/>
          <w:highlight w:val="none"/>
        </w:rPr>
        <w:t>等；</w:t>
      </w:r>
    </w:p>
    <w:p w14:paraId="5F696D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2.4</w:t>
      </w:r>
      <w:r>
        <w:rPr>
          <w:rFonts w:hint="eastAsia" w:ascii="宋体" w:hAnsi="宋体" w:eastAsia="宋体" w:cs="宋体"/>
          <w:color w:val="auto"/>
          <w:sz w:val="21"/>
          <w:highlight w:val="none"/>
        </w:rPr>
        <w:t>各类大小桥梁</w:t>
      </w:r>
      <w:r>
        <w:rPr>
          <w:rFonts w:hint="eastAsia" w:ascii="宋体" w:hAnsi="宋体" w:eastAsia="宋体" w:cs="宋体"/>
          <w:color w:val="auto"/>
          <w:sz w:val="21"/>
          <w:highlight w:val="none"/>
          <w:lang w:val="en-US" w:eastAsia="zh-CN"/>
        </w:rPr>
        <w:t>70</w:t>
      </w:r>
      <w:r>
        <w:rPr>
          <w:rFonts w:hint="eastAsia" w:ascii="宋体" w:hAnsi="宋体" w:eastAsia="宋体" w:cs="宋体"/>
          <w:color w:val="auto"/>
          <w:sz w:val="21"/>
          <w:highlight w:val="none"/>
        </w:rPr>
        <w:t>多座；</w:t>
      </w:r>
    </w:p>
    <w:p w14:paraId="7804B75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w:t>
      </w:r>
      <w:r>
        <w:rPr>
          <w:rFonts w:hint="eastAsia" w:ascii="宋体" w:hAnsi="宋体" w:cs="宋体"/>
          <w:color w:val="auto"/>
          <w:sz w:val="21"/>
          <w:highlight w:val="none"/>
          <w:lang w:val="en-US" w:eastAsia="zh-CN"/>
        </w:rPr>
        <w:t>5</w:t>
      </w:r>
      <w:r>
        <w:rPr>
          <w:rFonts w:hint="eastAsia" w:ascii="宋体" w:hAnsi="宋体" w:eastAsia="宋体" w:cs="宋体"/>
          <w:color w:val="auto"/>
          <w:sz w:val="21"/>
          <w:highlight w:val="none"/>
        </w:rPr>
        <w:t>市政类的应急抢险；</w:t>
      </w:r>
    </w:p>
    <w:p w14:paraId="50382BB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w:t>
      </w:r>
      <w:r>
        <w:rPr>
          <w:rFonts w:hint="eastAsia" w:ascii="宋体" w:hAnsi="宋体" w:cs="宋体"/>
          <w:color w:val="auto"/>
          <w:sz w:val="21"/>
          <w:highlight w:val="none"/>
          <w:lang w:val="en-US" w:eastAsia="zh-CN"/>
        </w:rPr>
        <w:t>6</w:t>
      </w:r>
      <w:r>
        <w:rPr>
          <w:rFonts w:hint="eastAsia" w:ascii="宋体" w:hAnsi="宋体" w:eastAsia="宋体" w:cs="宋体"/>
          <w:color w:val="auto"/>
          <w:sz w:val="21"/>
          <w:highlight w:val="none"/>
        </w:rPr>
        <w:t>公厕</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垃圾收集站、消防栓等</w:t>
      </w:r>
      <w:r>
        <w:rPr>
          <w:rFonts w:hint="eastAsia" w:ascii="宋体" w:hAnsi="宋体" w:eastAsia="宋体" w:cs="宋体"/>
          <w:color w:val="auto"/>
          <w:sz w:val="21"/>
          <w:highlight w:val="none"/>
        </w:rPr>
        <w:t>其他公共市政设施；</w:t>
      </w:r>
    </w:p>
    <w:p w14:paraId="339427A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w:t>
      </w:r>
      <w:r>
        <w:rPr>
          <w:rFonts w:hint="eastAsia" w:ascii="宋体" w:hAnsi="宋体" w:cs="宋体"/>
          <w:color w:val="auto"/>
          <w:sz w:val="21"/>
          <w:highlight w:val="none"/>
          <w:lang w:val="en-US" w:eastAsia="zh-CN"/>
        </w:rPr>
        <w:t>7</w:t>
      </w:r>
      <w:r>
        <w:rPr>
          <w:rFonts w:hint="eastAsia" w:ascii="宋体" w:hAnsi="宋体" w:eastAsia="宋体" w:cs="宋体"/>
          <w:color w:val="auto"/>
          <w:sz w:val="21"/>
          <w:highlight w:val="none"/>
          <w:lang w:eastAsia="zh-CN"/>
        </w:rPr>
        <w:t>民众街道</w:t>
      </w:r>
      <w:r>
        <w:rPr>
          <w:rFonts w:hint="eastAsia" w:ascii="宋体" w:hAnsi="宋体" w:eastAsia="宋体" w:cs="宋体"/>
          <w:color w:val="auto"/>
          <w:sz w:val="21"/>
          <w:highlight w:val="none"/>
        </w:rPr>
        <w:t>内所有</w:t>
      </w:r>
      <w:r>
        <w:rPr>
          <w:rFonts w:hint="eastAsia"/>
          <w:color w:val="auto"/>
          <w:sz w:val="21"/>
          <w:highlight w:val="none"/>
          <w:lang w:eastAsia="zh-CN"/>
        </w:rPr>
        <w:t>市政基础设施电线电路</w:t>
      </w:r>
      <w:r>
        <w:rPr>
          <w:rFonts w:hint="eastAsia"/>
          <w:color w:val="auto"/>
          <w:sz w:val="21"/>
          <w:highlight w:val="none"/>
          <w:lang w:val="en-US" w:eastAsia="zh-CN"/>
        </w:rPr>
        <w:t>维护</w:t>
      </w:r>
      <w:r>
        <w:rPr>
          <w:rFonts w:hint="eastAsia"/>
          <w:color w:val="auto"/>
          <w:sz w:val="21"/>
          <w:highlight w:val="none"/>
          <w:lang w:eastAsia="zh-CN"/>
        </w:rPr>
        <w:t>、</w:t>
      </w:r>
      <w:r>
        <w:rPr>
          <w:rFonts w:hint="eastAsia" w:ascii="宋体" w:hAnsi="宋体" w:eastAsia="宋体" w:cs="宋体"/>
          <w:color w:val="auto"/>
          <w:sz w:val="21"/>
          <w:highlight w:val="none"/>
        </w:rPr>
        <w:t>变压器维护，维护范围包括高压引落开关至低压开关内所有电气配件（含</w:t>
      </w:r>
      <w:r>
        <w:rPr>
          <w:rFonts w:hint="eastAsia"/>
          <w:color w:val="auto"/>
          <w:sz w:val="21"/>
          <w:highlight w:val="none"/>
          <w:lang w:eastAsia="zh-CN"/>
        </w:rPr>
        <w:t>市政基础设施电线电路</w:t>
      </w:r>
      <w:r>
        <w:rPr>
          <w:rFonts w:hint="eastAsia"/>
          <w:color w:val="auto"/>
          <w:sz w:val="21"/>
          <w:highlight w:val="none"/>
          <w:lang w:val="en-US" w:eastAsia="zh-CN"/>
        </w:rPr>
        <w:t>维护</w:t>
      </w:r>
      <w:r>
        <w:rPr>
          <w:rFonts w:hint="eastAsia"/>
          <w:color w:val="auto"/>
          <w:sz w:val="21"/>
          <w:highlight w:val="none"/>
          <w:lang w:eastAsia="zh-CN"/>
        </w:rPr>
        <w:t>、</w:t>
      </w:r>
      <w:r>
        <w:rPr>
          <w:rFonts w:hint="eastAsia" w:ascii="宋体" w:hAnsi="宋体" w:eastAsia="宋体" w:cs="宋体"/>
          <w:color w:val="auto"/>
          <w:sz w:val="21"/>
          <w:highlight w:val="none"/>
        </w:rPr>
        <w:t>变压器维护、无功补偿维护、箱体损坏及外表整洁）；</w:t>
      </w:r>
    </w:p>
    <w:p w14:paraId="58E9571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w:t>
      </w:r>
      <w:r>
        <w:rPr>
          <w:rFonts w:hint="eastAsia" w:ascii="宋体" w:hAnsi="宋体" w:cs="宋体"/>
          <w:color w:val="auto"/>
          <w:sz w:val="21"/>
          <w:highlight w:val="none"/>
          <w:lang w:val="en-US" w:eastAsia="zh-CN"/>
        </w:rPr>
        <w:t>8</w:t>
      </w:r>
      <w:r>
        <w:rPr>
          <w:rFonts w:hint="eastAsia" w:ascii="宋体" w:hAnsi="宋体" w:eastAsia="宋体" w:cs="宋体"/>
          <w:color w:val="auto"/>
          <w:sz w:val="21"/>
          <w:highlight w:val="none"/>
        </w:rPr>
        <w:t>必须落实创文巩卫、百千万工程等要求；</w:t>
      </w:r>
    </w:p>
    <w:p w14:paraId="52E980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color w:val="auto"/>
          <w:sz w:val="21"/>
          <w:highlight w:val="none"/>
          <w:lang w:val="en-US" w:eastAsia="zh-CN"/>
        </w:rPr>
      </w:pPr>
      <w:r>
        <w:rPr>
          <w:rFonts w:hint="eastAsia" w:ascii="宋体" w:hAnsi="宋体" w:cs="宋体"/>
          <w:b w:val="0"/>
          <w:color w:val="auto"/>
          <w:sz w:val="21"/>
          <w:highlight w:val="none"/>
          <w:lang w:val="en-US" w:eastAsia="zh-CN"/>
        </w:rPr>
        <w:t>备注：详见附件4：民众街道市政道路设施管养统计表</w:t>
      </w:r>
    </w:p>
    <w:p w14:paraId="3314C7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lang w:val="en-US" w:eastAsia="zh-CN"/>
        </w:rPr>
        <w:t>三</w:t>
      </w:r>
      <w:r>
        <w:rPr>
          <w:rFonts w:hint="eastAsia" w:ascii="宋体" w:hAnsi="宋体" w:eastAsia="宋体" w:cs="宋体"/>
          <w:b/>
          <w:color w:val="auto"/>
          <w:sz w:val="21"/>
          <w:highlight w:val="none"/>
        </w:rPr>
        <w:t>、报价要求：</w:t>
      </w:r>
    </w:p>
    <w:p w14:paraId="58FB396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1、本项目采用投标折扣率进行报价，投标报价（投标折扣率）最多可保留小数点后两位，如：95.88%。</w:t>
      </w:r>
    </w:p>
    <w:p w14:paraId="5F0AD70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2、投标报价（投标折扣率）应考虑经济增</w:t>
      </w:r>
      <w:r>
        <w:rPr>
          <w:rFonts w:hint="eastAsia" w:ascii="宋体" w:hAnsi="宋体" w:eastAsia="宋体" w:cs="宋体"/>
          <w:color w:val="auto"/>
          <w:sz w:val="21"/>
          <w:highlight w:val="none"/>
          <w:lang w:eastAsia="zh-CN"/>
        </w:rPr>
        <w:t>长和</w:t>
      </w:r>
      <w:r>
        <w:rPr>
          <w:rFonts w:hint="eastAsia" w:ascii="宋体" w:hAnsi="宋体" w:eastAsia="宋体" w:cs="宋体"/>
          <w:color w:val="auto"/>
          <w:sz w:val="21"/>
          <w:highlight w:val="none"/>
        </w:rPr>
        <w:t>物价上涨及自身成本报价及投标人认为需要</w:t>
      </w:r>
      <w:r>
        <w:rPr>
          <w:rFonts w:hint="eastAsia" w:ascii="宋体" w:hAnsi="宋体" w:eastAsia="宋体" w:cs="宋体"/>
          <w:color w:val="auto"/>
          <w:sz w:val="21"/>
          <w:highlight w:val="none"/>
          <w:lang w:eastAsia="zh-CN"/>
        </w:rPr>
        <w:t>的其他费用</w:t>
      </w:r>
      <w:r>
        <w:rPr>
          <w:rFonts w:hint="eastAsia" w:ascii="宋体" w:hAnsi="宋体" w:eastAsia="宋体" w:cs="宋体"/>
          <w:color w:val="auto"/>
          <w:sz w:val="21"/>
          <w:highlight w:val="none"/>
        </w:rPr>
        <w:t>因素等，如发生缺漏项视同已包含在投标报价（投标折扣率）之中。</w:t>
      </w:r>
    </w:p>
    <w:p w14:paraId="74DA9E7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highlight w:val="none"/>
        </w:rPr>
      </w:pP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3、</w:t>
      </w:r>
      <w:r>
        <w:rPr>
          <w:rFonts w:hint="eastAsia" w:ascii="宋体" w:hAnsi="宋体" w:eastAsia="宋体" w:cs="宋体"/>
          <w:b/>
          <w:bCs/>
          <w:color w:val="auto"/>
          <w:sz w:val="21"/>
          <w:highlight w:val="none"/>
          <w:lang w:eastAsia="zh-CN"/>
        </w:rPr>
        <w:t>投标</w:t>
      </w:r>
      <w:r>
        <w:rPr>
          <w:rFonts w:hint="eastAsia" w:ascii="宋体" w:hAnsi="宋体" w:eastAsia="宋体" w:cs="宋体"/>
          <w:b/>
          <w:bCs/>
          <w:color w:val="auto"/>
          <w:sz w:val="21"/>
          <w:highlight w:val="none"/>
        </w:rPr>
        <w:t>人的投标报价（投标折扣率）不得大于100%且不能为负数不能为零，否则视为无效报价。</w:t>
      </w:r>
    </w:p>
    <w:p w14:paraId="73A1A1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lang w:val="en-US" w:eastAsia="zh-CN"/>
        </w:rPr>
        <w:t>四</w:t>
      </w:r>
      <w:r>
        <w:rPr>
          <w:rFonts w:hint="eastAsia" w:ascii="宋体" w:hAnsi="宋体" w:eastAsia="宋体" w:cs="宋体"/>
          <w:b/>
          <w:color w:val="auto"/>
          <w:sz w:val="21"/>
          <w:highlight w:val="none"/>
        </w:rPr>
        <w:t>、市政设施维护管养服务要求：</w:t>
      </w:r>
    </w:p>
    <w:p w14:paraId="1283810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1、人员配备（所有人员不得兼任）：</w:t>
      </w:r>
    </w:p>
    <w:p w14:paraId="6FF48D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highlight w:val="none"/>
          <w:lang w:eastAsia="zh-CN"/>
        </w:rPr>
      </w:pPr>
      <w:r>
        <w:rPr>
          <w:rFonts w:hint="eastAsia" w:ascii="宋体" w:hAnsi="宋体" w:eastAsia="宋体" w:cs="宋体"/>
          <w:b/>
          <w:color w:val="auto"/>
          <w:sz w:val="21"/>
          <w:highlight w:val="none"/>
          <w:lang w:eastAsia="zh-CN"/>
        </w:rPr>
        <w:t>《</w:t>
      </w:r>
      <w:r>
        <w:rPr>
          <w:rFonts w:hint="eastAsia" w:ascii="宋体" w:hAnsi="宋体" w:eastAsia="宋体" w:cs="宋体"/>
          <w:b/>
          <w:color w:val="auto"/>
          <w:sz w:val="21"/>
          <w:highlight w:val="none"/>
          <w:lang w:val="en-US" w:eastAsia="zh-CN"/>
        </w:rPr>
        <w:t>人员配备表</w:t>
      </w:r>
      <w:r>
        <w:rPr>
          <w:rFonts w:hint="eastAsia" w:ascii="宋体" w:hAnsi="宋体" w:eastAsia="宋体" w:cs="宋体"/>
          <w:b/>
          <w:color w:val="auto"/>
          <w:sz w:val="21"/>
          <w:highlight w:val="none"/>
          <w:lang w:eastAsia="zh-CN"/>
        </w:rPr>
        <w:t>》</w:t>
      </w:r>
    </w:p>
    <w:tbl>
      <w:tblPr>
        <w:tblStyle w:val="5"/>
        <w:tblW w:w="8276"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38"/>
        <w:gridCol w:w="1578"/>
        <w:gridCol w:w="833"/>
        <w:gridCol w:w="33"/>
        <w:gridCol w:w="1239"/>
        <w:gridCol w:w="4055"/>
      </w:tblGrid>
      <w:tr w14:paraId="06E36D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38" w:type="dxa"/>
            <w:tcBorders>
              <w:top w:val="single" w:color="000000" w:sz="4" w:space="0"/>
              <w:left w:val="single" w:color="000000" w:sz="4" w:space="0"/>
              <w:bottom w:val="single" w:color="000000" w:sz="4" w:space="0"/>
              <w:right w:val="single" w:color="000000" w:sz="4" w:space="0"/>
            </w:tcBorders>
            <w:vAlign w:val="top"/>
          </w:tcPr>
          <w:p w14:paraId="60A9D0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序号</w:t>
            </w:r>
          </w:p>
        </w:tc>
        <w:tc>
          <w:tcPr>
            <w:tcW w:w="1578" w:type="dxa"/>
            <w:tcBorders>
              <w:top w:val="single" w:color="000000" w:sz="4" w:space="0"/>
              <w:left w:val="single" w:color="000000" w:sz="4" w:space="0"/>
              <w:bottom w:val="single" w:color="000000" w:sz="4" w:space="0"/>
              <w:right w:val="single" w:color="000000" w:sz="4" w:space="0"/>
            </w:tcBorders>
            <w:vAlign w:val="top"/>
          </w:tcPr>
          <w:p w14:paraId="1668D7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人员岗位</w:t>
            </w:r>
          </w:p>
        </w:tc>
        <w:tc>
          <w:tcPr>
            <w:tcW w:w="833" w:type="dxa"/>
            <w:tcBorders>
              <w:top w:val="single" w:color="000000" w:sz="4" w:space="0"/>
              <w:left w:val="single" w:color="000000" w:sz="4" w:space="0"/>
              <w:bottom w:val="single" w:color="000000" w:sz="4" w:space="0"/>
              <w:right w:val="single" w:color="000000" w:sz="4" w:space="0"/>
            </w:tcBorders>
            <w:vAlign w:val="top"/>
          </w:tcPr>
          <w:p w14:paraId="5C1B93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人数</w:t>
            </w:r>
          </w:p>
        </w:tc>
        <w:tc>
          <w:tcPr>
            <w:tcW w:w="1272" w:type="dxa"/>
            <w:gridSpan w:val="2"/>
            <w:tcBorders>
              <w:top w:val="single" w:color="000000" w:sz="4" w:space="0"/>
              <w:left w:val="single" w:color="000000" w:sz="4" w:space="0"/>
              <w:bottom w:val="single" w:color="000000" w:sz="4" w:space="0"/>
              <w:right w:val="single" w:color="000000" w:sz="4" w:space="0"/>
            </w:tcBorders>
            <w:vAlign w:val="top"/>
          </w:tcPr>
          <w:p w14:paraId="2780C0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职称</w:t>
            </w:r>
          </w:p>
        </w:tc>
        <w:tc>
          <w:tcPr>
            <w:tcW w:w="4055" w:type="dxa"/>
            <w:tcBorders>
              <w:top w:val="single" w:color="000000" w:sz="4" w:space="0"/>
              <w:left w:val="single" w:color="000000" w:sz="4" w:space="0"/>
              <w:bottom w:val="single" w:color="000000" w:sz="4" w:space="0"/>
              <w:right w:val="single" w:color="000000" w:sz="4" w:space="0"/>
            </w:tcBorders>
            <w:vAlign w:val="top"/>
          </w:tcPr>
          <w:p w14:paraId="3E4037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专业或证书要求</w:t>
            </w:r>
          </w:p>
        </w:tc>
      </w:tr>
      <w:tr w14:paraId="1358AD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8276" w:type="dxa"/>
            <w:gridSpan w:val="6"/>
            <w:tcBorders>
              <w:top w:val="single" w:color="000000" w:sz="4" w:space="0"/>
              <w:left w:val="single" w:color="000000" w:sz="4" w:space="0"/>
              <w:bottom w:val="single" w:color="000000" w:sz="4" w:space="0"/>
              <w:right w:val="single" w:color="000000" w:sz="4" w:space="0"/>
            </w:tcBorders>
            <w:vAlign w:val="top"/>
          </w:tcPr>
          <w:p w14:paraId="3038AA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项目部成员</w:t>
            </w:r>
          </w:p>
        </w:tc>
      </w:tr>
      <w:tr w14:paraId="787C16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38" w:type="dxa"/>
            <w:tcBorders>
              <w:top w:val="nil"/>
              <w:left w:val="single" w:color="000000" w:sz="4" w:space="0"/>
              <w:bottom w:val="single" w:color="auto" w:sz="4" w:space="0"/>
              <w:right w:val="single" w:color="000000" w:sz="4" w:space="0"/>
            </w:tcBorders>
            <w:vAlign w:val="top"/>
          </w:tcPr>
          <w:p w14:paraId="26CEE4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p>
        </w:tc>
        <w:tc>
          <w:tcPr>
            <w:tcW w:w="1578" w:type="dxa"/>
            <w:tcBorders>
              <w:top w:val="nil"/>
              <w:left w:val="single" w:color="000000" w:sz="4" w:space="0"/>
              <w:bottom w:val="single" w:color="000000" w:sz="4" w:space="0"/>
              <w:right w:val="single" w:color="000000" w:sz="4" w:space="0"/>
            </w:tcBorders>
            <w:vAlign w:val="top"/>
          </w:tcPr>
          <w:p w14:paraId="3F1A88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项目负责人</w:t>
            </w:r>
          </w:p>
        </w:tc>
        <w:tc>
          <w:tcPr>
            <w:tcW w:w="833" w:type="dxa"/>
            <w:tcBorders>
              <w:top w:val="nil"/>
              <w:left w:val="single" w:color="000000" w:sz="4" w:space="0"/>
              <w:bottom w:val="single" w:color="000000" w:sz="4" w:space="0"/>
              <w:right w:val="single" w:color="000000" w:sz="4" w:space="0"/>
            </w:tcBorders>
            <w:vAlign w:val="top"/>
          </w:tcPr>
          <w:p w14:paraId="60D6ED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p>
        </w:tc>
        <w:tc>
          <w:tcPr>
            <w:tcW w:w="1272" w:type="dxa"/>
            <w:gridSpan w:val="2"/>
            <w:tcBorders>
              <w:top w:val="nil"/>
              <w:left w:val="single" w:color="000000" w:sz="4" w:space="0"/>
              <w:bottom w:val="single" w:color="000000" w:sz="4" w:space="0"/>
              <w:right w:val="single" w:color="000000" w:sz="4" w:space="0"/>
            </w:tcBorders>
            <w:vAlign w:val="top"/>
          </w:tcPr>
          <w:p w14:paraId="1FD244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c>
          <w:tcPr>
            <w:tcW w:w="4055" w:type="dxa"/>
            <w:tcBorders>
              <w:top w:val="single" w:color="000000" w:sz="4" w:space="0"/>
              <w:left w:val="single" w:color="000000" w:sz="4" w:space="0"/>
              <w:bottom w:val="single" w:color="000000" w:sz="4" w:space="0"/>
              <w:right w:val="single" w:color="000000" w:sz="4" w:space="0"/>
            </w:tcBorders>
            <w:vAlign w:val="top"/>
          </w:tcPr>
          <w:p w14:paraId="20A3AA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市政公用工程专业二级或以上注册建造师</w:t>
            </w:r>
          </w:p>
        </w:tc>
      </w:tr>
      <w:tr w14:paraId="7707D2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38" w:type="dxa"/>
            <w:tcBorders>
              <w:top w:val="single" w:color="auto" w:sz="4" w:space="0"/>
              <w:left w:val="single" w:color="000000" w:sz="4" w:space="0"/>
              <w:bottom w:val="single" w:color="auto" w:sz="4" w:space="0"/>
              <w:right w:val="single" w:color="000000" w:sz="4" w:space="0"/>
            </w:tcBorders>
          </w:tcPr>
          <w:p w14:paraId="023A24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2</w:t>
            </w:r>
          </w:p>
        </w:tc>
        <w:tc>
          <w:tcPr>
            <w:tcW w:w="1578" w:type="dxa"/>
            <w:tcBorders>
              <w:top w:val="nil"/>
              <w:left w:val="single" w:color="000000" w:sz="4" w:space="0"/>
              <w:bottom w:val="single" w:color="000000" w:sz="4" w:space="0"/>
              <w:right w:val="single" w:color="000000" w:sz="4" w:space="0"/>
            </w:tcBorders>
            <w:vAlign w:val="top"/>
          </w:tcPr>
          <w:p w14:paraId="7E98C3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技术负责人</w:t>
            </w:r>
          </w:p>
        </w:tc>
        <w:tc>
          <w:tcPr>
            <w:tcW w:w="833" w:type="dxa"/>
            <w:tcBorders>
              <w:top w:val="nil"/>
              <w:left w:val="single" w:color="000000" w:sz="4" w:space="0"/>
              <w:bottom w:val="single" w:color="000000" w:sz="4" w:space="0"/>
              <w:right w:val="single" w:color="000000" w:sz="4" w:space="0"/>
            </w:tcBorders>
            <w:vAlign w:val="top"/>
          </w:tcPr>
          <w:p w14:paraId="1C2280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sz w:val="21"/>
                <w:highlight w:val="none"/>
                <w:lang w:val="en-US" w:eastAsia="zh-CN"/>
              </w:rPr>
              <w:t>1</w:t>
            </w:r>
          </w:p>
        </w:tc>
        <w:tc>
          <w:tcPr>
            <w:tcW w:w="1272" w:type="dxa"/>
            <w:gridSpan w:val="2"/>
            <w:tcBorders>
              <w:top w:val="nil"/>
              <w:left w:val="single" w:color="000000" w:sz="4" w:space="0"/>
              <w:bottom w:val="single" w:color="000000" w:sz="4" w:space="0"/>
              <w:right w:val="single" w:color="000000" w:sz="4" w:space="0"/>
            </w:tcBorders>
            <w:vAlign w:val="top"/>
          </w:tcPr>
          <w:p w14:paraId="289B6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中级或以上</w:t>
            </w:r>
          </w:p>
        </w:tc>
        <w:tc>
          <w:tcPr>
            <w:tcW w:w="4055" w:type="dxa"/>
            <w:tcBorders>
              <w:top w:val="nil"/>
              <w:left w:val="single" w:color="000000" w:sz="4" w:space="0"/>
              <w:bottom w:val="single" w:color="000000" w:sz="4" w:space="0"/>
              <w:right w:val="single" w:color="000000" w:sz="4" w:space="0"/>
            </w:tcBorders>
            <w:vAlign w:val="top"/>
          </w:tcPr>
          <w:p w14:paraId="52AE1B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rPr>
              <w:t>市政类</w:t>
            </w:r>
          </w:p>
        </w:tc>
      </w:tr>
      <w:tr w14:paraId="1B033B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38" w:type="dxa"/>
            <w:tcBorders>
              <w:top w:val="single" w:color="auto" w:sz="4" w:space="0"/>
              <w:left w:val="single" w:color="000000" w:sz="4" w:space="0"/>
              <w:bottom w:val="single" w:color="auto" w:sz="4" w:space="0"/>
              <w:right w:val="single" w:color="000000" w:sz="4" w:space="0"/>
            </w:tcBorders>
          </w:tcPr>
          <w:p w14:paraId="7B8E71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w:t>
            </w:r>
          </w:p>
        </w:tc>
        <w:tc>
          <w:tcPr>
            <w:tcW w:w="1578" w:type="dxa"/>
            <w:tcBorders>
              <w:top w:val="nil"/>
              <w:left w:val="single" w:color="000000" w:sz="4" w:space="0"/>
              <w:bottom w:val="single" w:color="000000" w:sz="4" w:space="0"/>
              <w:right w:val="single" w:color="000000" w:sz="4" w:space="0"/>
            </w:tcBorders>
            <w:vAlign w:val="top"/>
          </w:tcPr>
          <w:p w14:paraId="38DD04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施工员</w:t>
            </w:r>
          </w:p>
        </w:tc>
        <w:tc>
          <w:tcPr>
            <w:tcW w:w="833" w:type="dxa"/>
            <w:tcBorders>
              <w:top w:val="nil"/>
              <w:left w:val="single" w:color="000000" w:sz="4" w:space="0"/>
              <w:bottom w:val="single" w:color="000000" w:sz="4" w:space="0"/>
              <w:right w:val="single" w:color="000000" w:sz="4" w:space="0"/>
            </w:tcBorders>
            <w:vAlign w:val="top"/>
          </w:tcPr>
          <w:p w14:paraId="7911CB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eastAsia="zh-CN"/>
              </w:rPr>
            </w:pPr>
            <w:r>
              <w:rPr>
                <w:rFonts w:hint="eastAsia" w:ascii="宋体" w:hAnsi="宋体" w:cs="宋体"/>
                <w:color w:val="auto"/>
                <w:sz w:val="21"/>
                <w:highlight w:val="none"/>
                <w:lang w:val="en-US" w:eastAsia="zh-CN"/>
              </w:rPr>
              <w:t>3</w:t>
            </w:r>
          </w:p>
        </w:tc>
        <w:tc>
          <w:tcPr>
            <w:tcW w:w="1272" w:type="dxa"/>
            <w:gridSpan w:val="2"/>
            <w:tcBorders>
              <w:top w:val="nil"/>
              <w:left w:val="single" w:color="000000" w:sz="4" w:space="0"/>
              <w:bottom w:val="single" w:color="000000" w:sz="4" w:space="0"/>
              <w:right w:val="single" w:color="000000" w:sz="4" w:space="0"/>
            </w:tcBorders>
            <w:vAlign w:val="top"/>
          </w:tcPr>
          <w:p w14:paraId="70CEBC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c>
          <w:tcPr>
            <w:tcW w:w="4055" w:type="dxa"/>
            <w:tcBorders>
              <w:top w:val="nil"/>
              <w:left w:val="single" w:color="000000" w:sz="4" w:space="0"/>
              <w:bottom w:val="single" w:color="000000" w:sz="4" w:space="0"/>
              <w:right w:val="single" w:color="000000" w:sz="4" w:space="0"/>
            </w:tcBorders>
            <w:vAlign w:val="top"/>
          </w:tcPr>
          <w:p w14:paraId="059C58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施工员证</w:t>
            </w:r>
          </w:p>
        </w:tc>
      </w:tr>
      <w:tr w14:paraId="482810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38" w:type="dxa"/>
            <w:tcBorders>
              <w:top w:val="single" w:color="auto" w:sz="4" w:space="0"/>
              <w:left w:val="single" w:color="000000" w:sz="4" w:space="0"/>
              <w:bottom w:val="single" w:color="auto" w:sz="4" w:space="0"/>
              <w:right w:val="single" w:color="000000" w:sz="4" w:space="0"/>
            </w:tcBorders>
          </w:tcPr>
          <w:p w14:paraId="01A61E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4</w:t>
            </w:r>
          </w:p>
        </w:tc>
        <w:tc>
          <w:tcPr>
            <w:tcW w:w="1578" w:type="dxa"/>
            <w:tcBorders>
              <w:top w:val="nil"/>
              <w:left w:val="single" w:color="000000" w:sz="4" w:space="0"/>
              <w:bottom w:val="single" w:color="000000" w:sz="4" w:space="0"/>
              <w:right w:val="single" w:color="000000" w:sz="4" w:space="0"/>
            </w:tcBorders>
            <w:vAlign w:val="top"/>
          </w:tcPr>
          <w:p w14:paraId="2E3946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质量员</w:t>
            </w:r>
          </w:p>
        </w:tc>
        <w:tc>
          <w:tcPr>
            <w:tcW w:w="833" w:type="dxa"/>
            <w:tcBorders>
              <w:top w:val="nil"/>
              <w:left w:val="single" w:color="000000" w:sz="4" w:space="0"/>
              <w:bottom w:val="single" w:color="000000" w:sz="4" w:space="0"/>
              <w:right w:val="single" w:color="000000" w:sz="4" w:space="0"/>
            </w:tcBorders>
            <w:vAlign w:val="top"/>
          </w:tcPr>
          <w:p w14:paraId="73A3BB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eastAsia="zh-CN"/>
              </w:rPr>
            </w:pPr>
            <w:r>
              <w:rPr>
                <w:rFonts w:hint="eastAsia" w:ascii="宋体" w:hAnsi="宋体" w:cs="宋体"/>
                <w:color w:val="auto"/>
                <w:sz w:val="21"/>
                <w:highlight w:val="none"/>
                <w:lang w:val="en-US" w:eastAsia="zh-CN"/>
              </w:rPr>
              <w:t>1</w:t>
            </w:r>
          </w:p>
        </w:tc>
        <w:tc>
          <w:tcPr>
            <w:tcW w:w="1272" w:type="dxa"/>
            <w:gridSpan w:val="2"/>
            <w:tcBorders>
              <w:top w:val="nil"/>
              <w:left w:val="single" w:color="000000" w:sz="4" w:space="0"/>
              <w:bottom w:val="single" w:color="000000" w:sz="4" w:space="0"/>
              <w:right w:val="single" w:color="000000" w:sz="4" w:space="0"/>
            </w:tcBorders>
            <w:vAlign w:val="top"/>
          </w:tcPr>
          <w:p w14:paraId="5A651F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c>
          <w:tcPr>
            <w:tcW w:w="4055" w:type="dxa"/>
            <w:tcBorders>
              <w:top w:val="nil"/>
              <w:left w:val="single" w:color="000000" w:sz="4" w:space="0"/>
              <w:bottom w:val="single" w:color="000000" w:sz="4" w:space="0"/>
              <w:right w:val="single" w:color="000000" w:sz="4" w:space="0"/>
            </w:tcBorders>
            <w:vAlign w:val="top"/>
          </w:tcPr>
          <w:p w14:paraId="23C6C7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质量员证</w:t>
            </w:r>
          </w:p>
        </w:tc>
      </w:tr>
      <w:tr w14:paraId="1B08D9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38" w:type="dxa"/>
            <w:tcBorders>
              <w:top w:val="single" w:color="auto" w:sz="4" w:space="0"/>
              <w:left w:val="single" w:color="000000" w:sz="4" w:space="0"/>
              <w:bottom w:val="single" w:color="auto" w:sz="4" w:space="0"/>
              <w:right w:val="single" w:color="000000" w:sz="4" w:space="0"/>
            </w:tcBorders>
          </w:tcPr>
          <w:p w14:paraId="2BBC93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w:t>
            </w:r>
          </w:p>
        </w:tc>
        <w:tc>
          <w:tcPr>
            <w:tcW w:w="1578" w:type="dxa"/>
            <w:tcBorders>
              <w:top w:val="nil"/>
              <w:left w:val="single" w:color="000000" w:sz="4" w:space="0"/>
              <w:bottom w:val="single" w:color="000000" w:sz="4" w:space="0"/>
              <w:right w:val="single" w:color="000000" w:sz="4" w:space="0"/>
            </w:tcBorders>
            <w:vAlign w:val="top"/>
          </w:tcPr>
          <w:p w14:paraId="738B5E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安全员</w:t>
            </w:r>
          </w:p>
        </w:tc>
        <w:tc>
          <w:tcPr>
            <w:tcW w:w="833" w:type="dxa"/>
            <w:tcBorders>
              <w:top w:val="nil"/>
              <w:left w:val="single" w:color="000000" w:sz="4" w:space="0"/>
              <w:bottom w:val="single" w:color="000000" w:sz="4" w:space="0"/>
              <w:right w:val="single" w:color="000000" w:sz="4" w:space="0"/>
            </w:tcBorders>
            <w:vAlign w:val="top"/>
          </w:tcPr>
          <w:p w14:paraId="46E233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eastAsia="zh-CN"/>
              </w:rPr>
            </w:pPr>
            <w:r>
              <w:rPr>
                <w:rFonts w:hint="eastAsia" w:ascii="宋体" w:hAnsi="宋体" w:cs="宋体"/>
                <w:color w:val="auto"/>
                <w:sz w:val="21"/>
                <w:highlight w:val="none"/>
                <w:lang w:val="en-US" w:eastAsia="zh-CN"/>
              </w:rPr>
              <w:t>1</w:t>
            </w:r>
          </w:p>
        </w:tc>
        <w:tc>
          <w:tcPr>
            <w:tcW w:w="1272" w:type="dxa"/>
            <w:gridSpan w:val="2"/>
            <w:tcBorders>
              <w:top w:val="nil"/>
              <w:left w:val="single" w:color="000000" w:sz="4" w:space="0"/>
              <w:bottom w:val="single" w:color="000000" w:sz="4" w:space="0"/>
              <w:right w:val="single" w:color="000000" w:sz="4" w:space="0"/>
            </w:tcBorders>
            <w:vAlign w:val="top"/>
          </w:tcPr>
          <w:p w14:paraId="69C76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c>
          <w:tcPr>
            <w:tcW w:w="4055" w:type="dxa"/>
            <w:tcBorders>
              <w:top w:val="nil"/>
              <w:left w:val="single" w:color="000000" w:sz="4" w:space="0"/>
              <w:bottom w:val="single" w:color="000000" w:sz="4" w:space="0"/>
              <w:right w:val="single" w:color="000000" w:sz="4" w:space="0"/>
            </w:tcBorders>
            <w:vAlign w:val="top"/>
          </w:tcPr>
          <w:p w14:paraId="456FFF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安全员证</w:t>
            </w:r>
          </w:p>
        </w:tc>
      </w:tr>
      <w:tr w14:paraId="00E1E7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38" w:type="dxa"/>
            <w:tcBorders>
              <w:top w:val="single" w:color="auto" w:sz="4" w:space="0"/>
              <w:left w:val="single" w:color="000000" w:sz="4" w:space="0"/>
              <w:bottom w:val="single" w:color="auto" w:sz="4" w:space="0"/>
              <w:right w:val="single" w:color="000000" w:sz="4" w:space="0"/>
            </w:tcBorders>
          </w:tcPr>
          <w:p w14:paraId="350306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w:t>
            </w:r>
          </w:p>
        </w:tc>
        <w:tc>
          <w:tcPr>
            <w:tcW w:w="1578" w:type="dxa"/>
            <w:tcBorders>
              <w:top w:val="nil"/>
              <w:left w:val="single" w:color="000000" w:sz="4" w:space="0"/>
              <w:bottom w:val="single" w:color="000000" w:sz="4" w:space="0"/>
              <w:right w:val="single" w:color="000000" w:sz="4" w:space="0"/>
            </w:tcBorders>
            <w:vAlign w:val="top"/>
          </w:tcPr>
          <w:p w14:paraId="42A548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资料员</w:t>
            </w:r>
          </w:p>
        </w:tc>
        <w:tc>
          <w:tcPr>
            <w:tcW w:w="833" w:type="dxa"/>
            <w:tcBorders>
              <w:top w:val="nil"/>
              <w:left w:val="single" w:color="000000" w:sz="4" w:space="0"/>
              <w:bottom w:val="single" w:color="000000" w:sz="4" w:space="0"/>
              <w:right w:val="single" w:color="000000" w:sz="4" w:space="0"/>
            </w:tcBorders>
            <w:vAlign w:val="top"/>
          </w:tcPr>
          <w:p w14:paraId="6A88C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p>
        </w:tc>
        <w:tc>
          <w:tcPr>
            <w:tcW w:w="1272" w:type="dxa"/>
            <w:gridSpan w:val="2"/>
            <w:tcBorders>
              <w:top w:val="nil"/>
              <w:left w:val="single" w:color="000000" w:sz="4" w:space="0"/>
              <w:bottom w:val="single" w:color="000000" w:sz="4" w:space="0"/>
              <w:right w:val="single" w:color="000000" w:sz="4" w:space="0"/>
            </w:tcBorders>
            <w:vAlign w:val="top"/>
          </w:tcPr>
          <w:p w14:paraId="317FC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c>
          <w:tcPr>
            <w:tcW w:w="4055" w:type="dxa"/>
            <w:tcBorders>
              <w:top w:val="nil"/>
              <w:left w:val="single" w:color="000000" w:sz="4" w:space="0"/>
              <w:bottom w:val="single" w:color="000000" w:sz="4" w:space="0"/>
              <w:right w:val="single" w:color="000000" w:sz="4" w:space="0"/>
            </w:tcBorders>
            <w:vAlign w:val="top"/>
          </w:tcPr>
          <w:p w14:paraId="42E7E0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资料员证</w:t>
            </w:r>
          </w:p>
        </w:tc>
      </w:tr>
      <w:tr w14:paraId="3BAA68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38" w:type="dxa"/>
            <w:tcBorders>
              <w:top w:val="single" w:color="auto" w:sz="4" w:space="0"/>
              <w:left w:val="single" w:color="000000" w:sz="4" w:space="0"/>
              <w:bottom w:val="single" w:color="auto" w:sz="4" w:space="0"/>
              <w:right w:val="single" w:color="000000" w:sz="4" w:space="0"/>
            </w:tcBorders>
          </w:tcPr>
          <w:p w14:paraId="7C6277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lang w:val="en-US" w:eastAsia="zh-CN"/>
              </w:rPr>
            </w:pPr>
            <w:r>
              <w:rPr>
                <w:rFonts w:hint="eastAsia" w:ascii="宋体" w:hAnsi="宋体" w:cs="宋体"/>
                <w:color w:val="auto"/>
                <w:sz w:val="21"/>
                <w:highlight w:val="none"/>
                <w:lang w:val="en-US" w:eastAsia="zh-CN"/>
              </w:rPr>
              <w:t>7</w:t>
            </w:r>
          </w:p>
        </w:tc>
        <w:tc>
          <w:tcPr>
            <w:tcW w:w="1578" w:type="dxa"/>
            <w:tcBorders>
              <w:top w:val="nil"/>
              <w:left w:val="single" w:color="000000" w:sz="4" w:space="0"/>
              <w:bottom w:val="single" w:color="000000" w:sz="4" w:space="0"/>
              <w:right w:val="single" w:color="000000" w:sz="4" w:space="0"/>
            </w:tcBorders>
            <w:vAlign w:val="top"/>
          </w:tcPr>
          <w:p w14:paraId="424270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1"/>
                <w:highlight w:val="none"/>
                <w:lang w:val="en-US" w:eastAsia="zh-CN"/>
              </w:rPr>
            </w:pPr>
            <w:r>
              <w:rPr>
                <w:rFonts w:hint="eastAsia" w:ascii="宋体" w:hAnsi="宋体" w:cs="宋体"/>
                <w:color w:val="auto"/>
                <w:sz w:val="21"/>
                <w:highlight w:val="none"/>
                <w:lang w:val="en-US" w:eastAsia="zh-CN"/>
              </w:rPr>
              <w:t>造价员</w:t>
            </w:r>
          </w:p>
        </w:tc>
        <w:tc>
          <w:tcPr>
            <w:tcW w:w="833" w:type="dxa"/>
            <w:tcBorders>
              <w:top w:val="nil"/>
              <w:left w:val="single" w:color="000000" w:sz="4" w:space="0"/>
              <w:bottom w:val="single" w:color="000000" w:sz="4" w:space="0"/>
              <w:right w:val="single" w:color="000000" w:sz="4" w:space="0"/>
            </w:tcBorders>
            <w:vAlign w:val="top"/>
          </w:tcPr>
          <w:p w14:paraId="7F726F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lang w:val="en-US" w:eastAsia="zh-CN"/>
              </w:rPr>
            </w:pPr>
            <w:r>
              <w:rPr>
                <w:rFonts w:hint="eastAsia" w:ascii="宋体" w:hAnsi="宋体" w:cs="宋体"/>
                <w:color w:val="auto"/>
                <w:sz w:val="21"/>
                <w:highlight w:val="none"/>
                <w:lang w:val="en-US" w:eastAsia="zh-CN"/>
              </w:rPr>
              <w:t>1</w:t>
            </w:r>
          </w:p>
        </w:tc>
        <w:tc>
          <w:tcPr>
            <w:tcW w:w="1272" w:type="dxa"/>
            <w:gridSpan w:val="2"/>
            <w:tcBorders>
              <w:top w:val="nil"/>
              <w:left w:val="single" w:color="000000" w:sz="4" w:space="0"/>
              <w:bottom w:val="single" w:color="000000" w:sz="4" w:space="0"/>
              <w:right w:val="single" w:color="000000" w:sz="4" w:space="0"/>
            </w:tcBorders>
            <w:vAlign w:val="top"/>
          </w:tcPr>
          <w:p w14:paraId="31E757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lang w:val="en-US" w:eastAsia="zh-CN"/>
              </w:rPr>
            </w:pPr>
            <w:r>
              <w:rPr>
                <w:rFonts w:hint="eastAsia" w:ascii="宋体" w:hAnsi="宋体" w:cs="宋体"/>
                <w:color w:val="auto"/>
                <w:sz w:val="21"/>
                <w:highlight w:val="none"/>
                <w:lang w:val="en-US" w:eastAsia="zh-CN"/>
              </w:rPr>
              <w:t>/</w:t>
            </w:r>
          </w:p>
        </w:tc>
        <w:tc>
          <w:tcPr>
            <w:tcW w:w="4055" w:type="dxa"/>
            <w:tcBorders>
              <w:top w:val="nil"/>
              <w:left w:val="single" w:color="000000" w:sz="4" w:space="0"/>
              <w:bottom w:val="single" w:color="000000" w:sz="4" w:space="0"/>
              <w:right w:val="single" w:color="000000" w:sz="4" w:space="0"/>
            </w:tcBorders>
            <w:vAlign w:val="top"/>
          </w:tcPr>
          <w:p w14:paraId="2ACFB6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rPr>
            </w:pPr>
            <w:r>
              <w:rPr>
                <w:rFonts w:hint="eastAsia" w:ascii="宋体" w:hAnsi="宋体" w:cs="宋体"/>
                <w:color w:val="auto"/>
                <w:sz w:val="21"/>
                <w:highlight w:val="none"/>
                <w:lang w:val="en-US" w:eastAsia="zh-CN"/>
              </w:rPr>
              <w:t>二</w:t>
            </w:r>
            <w:r>
              <w:rPr>
                <w:rFonts w:hint="eastAsia" w:ascii="宋体" w:hAnsi="宋体" w:eastAsia="宋体" w:cs="宋体"/>
                <w:color w:val="auto"/>
                <w:sz w:val="21"/>
                <w:highlight w:val="none"/>
              </w:rPr>
              <w:t>级或以上注册造价师证或中级(含)以上造价工程师</w:t>
            </w:r>
          </w:p>
        </w:tc>
      </w:tr>
      <w:tr w14:paraId="30FB77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8276" w:type="dxa"/>
            <w:gridSpan w:val="6"/>
            <w:tcBorders>
              <w:top w:val="single" w:color="auto" w:sz="4" w:space="0"/>
              <w:left w:val="single" w:color="000000" w:sz="4" w:space="0"/>
              <w:bottom w:val="single" w:color="auto" w:sz="4" w:space="0"/>
              <w:right w:val="single" w:color="000000" w:sz="4" w:space="0"/>
            </w:tcBorders>
          </w:tcPr>
          <w:p w14:paraId="3405E3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lang w:val="en-US" w:eastAsia="zh-CN"/>
              </w:rPr>
            </w:pPr>
            <w:r>
              <w:rPr>
                <w:rFonts w:hint="eastAsia" w:ascii="宋体" w:hAnsi="宋体" w:eastAsia="宋体" w:cs="宋体"/>
                <w:b/>
                <w:bCs/>
                <w:color w:val="auto"/>
                <w:sz w:val="21"/>
                <w:highlight w:val="none"/>
                <w:lang w:val="en-US" w:eastAsia="zh-CN"/>
              </w:rPr>
              <w:t>其他作业人员</w:t>
            </w:r>
          </w:p>
        </w:tc>
      </w:tr>
      <w:tr w14:paraId="71F8A5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38" w:type="dxa"/>
            <w:tcBorders>
              <w:top w:val="nil"/>
              <w:left w:val="single" w:color="000000" w:sz="4" w:space="0"/>
              <w:bottom w:val="single" w:color="auto" w:sz="4" w:space="0"/>
              <w:right w:val="single" w:color="000000" w:sz="4" w:space="0"/>
            </w:tcBorders>
            <w:vAlign w:val="top"/>
          </w:tcPr>
          <w:p w14:paraId="33472B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eastAsia="zh-CN"/>
              </w:rPr>
            </w:pPr>
            <w:r>
              <w:rPr>
                <w:rFonts w:hint="eastAsia" w:ascii="宋体" w:hAnsi="宋体" w:cs="宋体"/>
                <w:color w:val="auto"/>
                <w:sz w:val="21"/>
                <w:highlight w:val="none"/>
                <w:lang w:val="en-US" w:eastAsia="zh-CN"/>
              </w:rPr>
              <w:t>1</w:t>
            </w:r>
          </w:p>
        </w:tc>
        <w:tc>
          <w:tcPr>
            <w:tcW w:w="1578" w:type="dxa"/>
            <w:tcBorders>
              <w:top w:val="nil"/>
              <w:left w:val="single" w:color="000000" w:sz="4" w:space="0"/>
              <w:bottom w:val="single" w:color="auto" w:sz="4" w:space="0"/>
              <w:right w:val="single" w:color="000000" w:sz="4" w:space="0"/>
            </w:tcBorders>
            <w:vAlign w:val="top"/>
          </w:tcPr>
          <w:p w14:paraId="22B2D9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现场维护作业人员</w:t>
            </w:r>
          </w:p>
        </w:tc>
        <w:tc>
          <w:tcPr>
            <w:tcW w:w="866" w:type="dxa"/>
            <w:gridSpan w:val="2"/>
            <w:tcBorders>
              <w:top w:val="nil"/>
              <w:left w:val="single" w:color="000000" w:sz="4" w:space="0"/>
              <w:bottom w:val="single" w:color="auto" w:sz="4" w:space="0"/>
              <w:right w:val="single" w:color="auto" w:sz="4" w:space="0"/>
            </w:tcBorders>
            <w:vAlign w:val="top"/>
          </w:tcPr>
          <w:p w14:paraId="4F37FB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不少于</w:t>
            </w:r>
            <w:r>
              <w:rPr>
                <w:rFonts w:hint="eastAsia" w:ascii="宋体" w:hAnsi="宋体" w:cs="宋体"/>
                <w:color w:val="auto"/>
                <w:sz w:val="21"/>
                <w:highlight w:val="none"/>
                <w:lang w:val="en-US" w:eastAsia="zh-CN"/>
              </w:rPr>
              <w:t>20</w:t>
            </w:r>
            <w:r>
              <w:rPr>
                <w:rFonts w:hint="eastAsia" w:ascii="宋体" w:hAnsi="宋体" w:eastAsia="宋体" w:cs="宋体"/>
                <w:color w:val="auto"/>
                <w:sz w:val="21"/>
                <w:highlight w:val="none"/>
              </w:rPr>
              <w:t>人</w:t>
            </w:r>
          </w:p>
        </w:tc>
        <w:tc>
          <w:tcPr>
            <w:tcW w:w="5294" w:type="dxa"/>
            <w:gridSpan w:val="2"/>
            <w:tcBorders>
              <w:top w:val="nil"/>
              <w:left w:val="single" w:color="auto" w:sz="4" w:space="0"/>
              <w:bottom w:val="single" w:color="auto" w:sz="4" w:space="0"/>
              <w:right w:val="single" w:color="000000" w:sz="4" w:space="0"/>
            </w:tcBorders>
            <w:shd w:val="clear" w:color="auto" w:fill="auto"/>
            <w:vAlign w:val="top"/>
          </w:tcPr>
          <w:p w14:paraId="7D7D7A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1"/>
                <w:highlight w:val="none"/>
                <w:lang w:eastAsia="zh-CN"/>
              </w:rPr>
            </w:pPr>
            <w:r>
              <w:rPr>
                <w:rFonts w:hint="eastAsia" w:ascii="宋体" w:hAnsi="宋体" w:eastAsia="宋体" w:cs="宋体"/>
                <w:color w:val="auto"/>
                <w:sz w:val="21"/>
                <w:highlight w:val="none"/>
                <w:lang w:val="en-US" w:eastAsia="zh-CN"/>
              </w:rPr>
              <w:t>不少于</w:t>
            </w:r>
            <w:r>
              <w:rPr>
                <w:rFonts w:hint="eastAsia" w:ascii="宋体" w:hAnsi="宋体" w:eastAsia="宋体" w:cs="宋体"/>
                <w:color w:val="auto"/>
                <w:sz w:val="21"/>
                <w:highlight w:val="none"/>
              </w:rPr>
              <w:t>3人持安全监管部门颁发的“特种作业操作证”（作业类别：电工作业）</w:t>
            </w:r>
            <w:r>
              <w:rPr>
                <w:rFonts w:hint="eastAsia" w:ascii="宋体" w:hAnsi="宋体" w:cs="宋体"/>
                <w:color w:val="auto"/>
                <w:sz w:val="21"/>
                <w:highlight w:val="none"/>
                <w:lang w:eastAsia="zh-CN"/>
              </w:rPr>
              <w:t>；</w:t>
            </w:r>
          </w:p>
          <w:p w14:paraId="2C6C96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highlight w:val="none"/>
                <w:lang w:val="en-US" w:eastAsia="zh-CN"/>
              </w:rPr>
              <w:t>不少于</w:t>
            </w:r>
            <w:r>
              <w:rPr>
                <w:rFonts w:hint="eastAsia" w:ascii="宋体" w:hAnsi="宋体" w:cs="宋体"/>
                <w:color w:val="auto"/>
                <w:sz w:val="21"/>
                <w:highlight w:val="none"/>
                <w:lang w:val="en-US" w:eastAsia="zh-CN"/>
              </w:rPr>
              <w:t>2</w:t>
            </w:r>
            <w:r>
              <w:rPr>
                <w:rFonts w:hint="eastAsia" w:ascii="宋体" w:hAnsi="宋体" w:eastAsia="宋体" w:cs="宋体"/>
                <w:color w:val="auto"/>
                <w:sz w:val="21"/>
                <w:highlight w:val="none"/>
              </w:rPr>
              <w:t>人持安全监管部门颁发的“特种作业操作证”（作业类别：</w:t>
            </w:r>
            <w:r>
              <w:rPr>
                <w:rFonts w:hint="eastAsia" w:ascii="宋体" w:hAnsi="宋体" w:cs="宋体"/>
                <w:color w:val="auto"/>
                <w:sz w:val="21"/>
                <w:highlight w:val="none"/>
                <w:lang w:val="en-US" w:eastAsia="zh-CN"/>
              </w:rPr>
              <w:t>高处作业</w:t>
            </w:r>
            <w:r>
              <w:rPr>
                <w:rFonts w:hint="eastAsia" w:ascii="宋体" w:hAnsi="宋体" w:eastAsia="宋体" w:cs="宋体"/>
                <w:color w:val="auto"/>
                <w:sz w:val="21"/>
                <w:highlight w:val="none"/>
              </w:rPr>
              <w:t>）</w:t>
            </w:r>
            <w:r>
              <w:rPr>
                <w:rFonts w:hint="eastAsia" w:ascii="宋体" w:hAnsi="宋体" w:cs="宋体"/>
                <w:color w:val="auto"/>
                <w:sz w:val="21"/>
                <w:highlight w:val="none"/>
                <w:lang w:eastAsia="zh-CN"/>
              </w:rPr>
              <w:t>；</w:t>
            </w:r>
          </w:p>
        </w:tc>
      </w:tr>
      <w:tr w14:paraId="07D486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38" w:type="dxa"/>
            <w:tcBorders>
              <w:top w:val="nil"/>
              <w:left w:val="single" w:color="000000" w:sz="4" w:space="0"/>
              <w:bottom w:val="single" w:color="000000" w:sz="4" w:space="0"/>
              <w:right w:val="single" w:color="000000" w:sz="4" w:space="0"/>
            </w:tcBorders>
            <w:vAlign w:val="top"/>
          </w:tcPr>
          <w:p w14:paraId="1A91FF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eastAsia="zh-CN"/>
              </w:rPr>
            </w:pPr>
            <w:r>
              <w:rPr>
                <w:rFonts w:hint="eastAsia" w:ascii="宋体" w:hAnsi="宋体" w:cs="宋体"/>
                <w:color w:val="auto"/>
                <w:sz w:val="21"/>
                <w:highlight w:val="none"/>
                <w:lang w:val="en-US" w:eastAsia="zh-CN"/>
              </w:rPr>
              <w:t>2</w:t>
            </w:r>
          </w:p>
        </w:tc>
        <w:tc>
          <w:tcPr>
            <w:tcW w:w="1578" w:type="dxa"/>
            <w:tcBorders>
              <w:top w:val="nil"/>
              <w:left w:val="single" w:color="000000" w:sz="4" w:space="0"/>
              <w:bottom w:val="single" w:color="000000" w:sz="4" w:space="0"/>
              <w:right w:val="single" w:color="000000" w:sz="4" w:space="0"/>
            </w:tcBorders>
            <w:vAlign w:val="top"/>
          </w:tcPr>
          <w:p w14:paraId="7C754F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驻点人员</w:t>
            </w:r>
          </w:p>
        </w:tc>
        <w:tc>
          <w:tcPr>
            <w:tcW w:w="866" w:type="dxa"/>
            <w:gridSpan w:val="2"/>
            <w:tcBorders>
              <w:top w:val="nil"/>
              <w:left w:val="single" w:color="000000" w:sz="4" w:space="0"/>
              <w:bottom w:val="single" w:color="000000" w:sz="4" w:space="0"/>
              <w:right w:val="single" w:color="auto" w:sz="4" w:space="0"/>
            </w:tcBorders>
            <w:vAlign w:val="top"/>
          </w:tcPr>
          <w:p w14:paraId="0EDB95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5294" w:type="dxa"/>
            <w:gridSpan w:val="2"/>
            <w:tcBorders>
              <w:top w:val="nil"/>
              <w:left w:val="single" w:color="auto" w:sz="4" w:space="0"/>
              <w:bottom w:val="single" w:color="000000" w:sz="4" w:space="0"/>
              <w:right w:val="single" w:color="000000" w:sz="4" w:space="0"/>
            </w:tcBorders>
            <w:shd w:val="clear" w:color="auto" w:fill="auto"/>
            <w:vAlign w:val="top"/>
          </w:tcPr>
          <w:p w14:paraId="132FF5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highlight w:val="none"/>
              </w:rPr>
              <w:t>驻点到采购人单位办公，配合采购人完成本项目的工作安排。</w:t>
            </w:r>
          </w:p>
        </w:tc>
      </w:tr>
    </w:tbl>
    <w:p w14:paraId="3BA0D6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lang w:eastAsia="zh-CN"/>
        </w:rPr>
      </w:pPr>
      <w:r>
        <w:rPr>
          <w:rFonts w:hint="eastAsia" w:ascii="宋体" w:hAnsi="宋体" w:eastAsia="宋体" w:cs="宋体"/>
          <w:b/>
          <w:color w:val="auto"/>
          <w:sz w:val="21"/>
          <w:highlight w:val="none"/>
        </w:rPr>
        <w:t>★注：</w:t>
      </w:r>
      <w:r>
        <w:rPr>
          <w:rFonts w:hint="eastAsia" w:ascii="宋体" w:hAnsi="宋体" w:eastAsia="宋体" w:cs="宋体"/>
          <w:b/>
          <w:color w:val="auto"/>
          <w:sz w:val="21"/>
          <w:highlight w:val="none"/>
          <w:lang w:val="en-US" w:eastAsia="zh-CN"/>
        </w:rPr>
        <w:t>投标人</w:t>
      </w:r>
      <w:r>
        <w:rPr>
          <w:rFonts w:hint="eastAsia" w:ascii="宋体" w:hAnsi="宋体" w:eastAsia="宋体" w:cs="宋体"/>
          <w:b/>
          <w:color w:val="auto"/>
          <w:sz w:val="21"/>
          <w:highlight w:val="none"/>
        </w:rPr>
        <w:t>按《人员配备表》进行人员配置，保证投入的人员能满足本项目的需要</w:t>
      </w:r>
      <w:r>
        <w:rPr>
          <w:rFonts w:hint="eastAsia" w:ascii="宋体" w:hAnsi="宋体" w:eastAsia="宋体" w:cs="宋体"/>
          <w:b/>
          <w:color w:val="auto"/>
          <w:sz w:val="21"/>
          <w:highlight w:val="none"/>
          <w:lang w:eastAsia="zh-CN"/>
        </w:rPr>
        <w:t>，</w:t>
      </w:r>
      <w:r>
        <w:rPr>
          <w:rFonts w:hint="eastAsia" w:ascii="宋体" w:hAnsi="宋体" w:eastAsia="宋体" w:cs="宋体"/>
          <w:b/>
          <w:color w:val="auto"/>
          <w:sz w:val="21"/>
          <w:highlight w:val="none"/>
        </w:rPr>
        <w:t>投标文件所提供的拟投入本项目人员必须是</w:t>
      </w:r>
      <w:r>
        <w:rPr>
          <w:rFonts w:hint="eastAsia" w:ascii="宋体" w:hAnsi="宋体" w:eastAsia="宋体" w:cs="宋体"/>
          <w:b/>
          <w:color w:val="auto"/>
          <w:sz w:val="21"/>
          <w:highlight w:val="none"/>
          <w:lang w:val="en-US" w:eastAsia="zh-CN"/>
        </w:rPr>
        <w:t>投标人</w:t>
      </w:r>
      <w:r>
        <w:rPr>
          <w:rFonts w:hint="eastAsia" w:ascii="宋体" w:hAnsi="宋体" w:eastAsia="宋体" w:cs="宋体"/>
          <w:b/>
          <w:color w:val="auto"/>
          <w:sz w:val="21"/>
          <w:highlight w:val="none"/>
        </w:rPr>
        <w:t>的在职人员。中标后，拟投入人员应全职服务于本项目且不得兼任不同的岗位、不得兼任其他项目，如需变更须书面报采购人同意后才能变更。全部配备人员必须在合同生效日前全部到位，否则视为放弃中标资格。投标人须承诺中标后拟投入本项目的所有人员必须参与到本项目的施工作业中，其中项目负责人与技术负责人在施工作业期间须到现场，若任意一人在施工作业期间不在项目现场的，中标人向采购人缴纳违约金10000元/人/次。</w:t>
      </w:r>
      <w:r>
        <w:rPr>
          <w:rFonts w:hint="eastAsia" w:ascii="宋体" w:hAnsi="宋体" w:cs="宋体"/>
          <w:b/>
          <w:color w:val="auto"/>
          <w:sz w:val="21"/>
          <w:highlight w:val="none"/>
          <w:lang w:eastAsia="zh-CN"/>
        </w:rPr>
        <w:t>（投标时在相关响应表中作出响应或提供承诺书并加盖公章视为满足采购需求。）</w:t>
      </w:r>
    </w:p>
    <w:p w14:paraId="1703989B">
      <w:pPr>
        <w:keepNext w:val="0"/>
        <w:keepLines w:val="0"/>
        <w:pageBreakBefore w:val="0"/>
        <w:widowControl w:val="0"/>
        <w:numPr>
          <w:ilvl w:val="-1"/>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color w:val="auto"/>
          <w:sz w:val="20"/>
          <w:szCs w:val="20"/>
          <w:highlight w:val="none"/>
        </w:rPr>
      </w:pPr>
      <w:r>
        <w:rPr>
          <w:rFonts w:hint="eastAsia" w:ascii="宋体" w:hAnsi="宋体" w:cs="宋体"/>
          <w:bCs/>
          <w:color w:val="auto"/>
          <w:sz w:val="20"/>
          <w:szCs w:val="20"/>
          <w:highlight w:val="none"/>
          <w:lang w:val="en-US" w:eastAsia="zh-CN"/>
        </w:rPr>
        <w:t>2、</w:t>
      </w:r>
      <w:r>
        <w:rPr>
          <w:rFonts w:hint="eastAsia" w:ascii="宋体" w:hAnsi="宋体" w:eastAsia="宋体" w:cs="宋体"/>
          <w:bCs/>
          <w:color w:val="auto"/>
          <w:sz w:val="20"/>
          <w:szCs w:val="20"/>
          <w:highlight w:val="none"/>
        </w:rPr>
        <w:t>★</w:t>
      </w:r>
      <w:r>
        <w:rPr>
          <w:rFonts w:hint="eastAsia" w:ascii="宋体" w:hAnsi="宋体" w:cs="宋体"/>
          <w:bCs/>
          <w:color w:val="auto"/>
          <w:sz w:val="20"/>
          <w:szCs w:val="20"/>
          <w:highlight w:val="none"/>
          <w:lang w:eastAsia="zh-CN"/>
        </w:rPr>
        <w:t>中标人</w:t>
      </w:r>
      <w:r>
        <w:rPr>
          <w:rFonts w:hint="eastAsia" w:ascii="宋体" w:hAnsi="宋体" w:eastAsia="宋体" w:cs="宋体"/>
          <w:bCs/>
          <w:color w:val="auto"/>
          <w:sz w:val="20"/>
          <w:szCs w:val="20"/>
          <w:highlight w:val="none"/>
        </w:rPr>
        <w:t>应在签订合同后尽快与原服务单位进行交接工作，</w:t>
      </w:r>
      <w:r>
        <w:rPr>
          <w:rFonts w:hint="eastAsia" w:ascii="宋体" w:hAnsi="宋体" w:cs="宋体"/>
          <w:bCs/>
          <w:color w:val="auto"/>
          <w:sz w:val="20"/>
          <w:szCs w:val="20"/>
          <w:highlight w:val="none"/>
          <w:lang w:eastAsia="zh-CN"/>
        </w:rPr>
        <w:t>交接时间不能超过</w:t>
      </w:r>
      <w:r>
        <w:rPr>
          <w:rFonts w:hint="eastAsia" w:ascii="宋体" w:hAnsi="宋体" w:cs="宋体"/>
          <w:bCs/>
          <w:color w:val="auto"/>
          <w:sz w:val="20"/>
          <w:szCs w:val="20"/>
          <w:highlight w:val="none"/>
          <w:lang w:val="en-US" w:eastAsia="zh-CN"/>
        </w:rPr>
        <w:t>1个月，交接</w:t>
      </w:r>
      <w:r>
        <w:rPr>
          <w:rFonts w:hint="eastAsia" w:ascii="宋体" w:hAnsi="宋体" w:eastAsia="宋体" w:cs="宋体"/>
          <w:bCs/>
          <w:color w:val="auto"/>
          <w:sz w:val="20"/>
          <w:szCs w:val="20"/>
          <w:highlight w:val="none"/>
        </w:rPr>
        <w:t>期间的管养（维护）责任由原管养（维护）单位和新接管单位（即本次招标的</w:t>
      </w:r>
      <w:r>
        <w:rPr>
          <w:rFonts w:hint="eastAsia" w:ascii="宋体" w:hAnsi="宋体" w:cs="宋体"/>
          <w:bCs/>
          <w:color w:val="auto"/>
          <w:sz w:val="20"/>
          <w:szCs w:val="20"/>
          <w:highlight w:val="none"/>
          <w:lang w:eastAsia="zh-CN"/>
        </w:rPr>
        <w:t>中标人</w:t>
      </w:r>
      <w:r>
        <w:rPr>
          <w:rFonts w:hint="eastAsia" w:ascii="宋体" w:hAnsi="宋体" w:eastAsia="宋体" w:cs="宋体"/>
          <w:bCs/>
          <w:color w:val="auto"/>
          <w:sz w:val="20"/>
          <w:szCs w:val="20"/>
          <w:highlight w:val="none"/>
        </w:rPr>
        <w:t>）共同承担</w:t>
      </w:r>
      <w:r>
        <w:rPr>
          <w:rFonts w:hint="eastAsia" w:ascii="宋体" w:hAnsi="宋体" w:cs="宋体"/>
          <w:bCs/>
          <w:color w:val="auto"/>
          <w:sz w:val="20"/>
          <w:szCs w:val="20"/>
          <w:highlight w:val="none"/>
          <w:lang w:eastAsia="zh-CN"/>
        </w:rPr>
        <w:t>，新接管单位负责牵头原管养单位做好交接工作</w:t>
      </w:r>
      <w:r>
        <w:rPr>
          <w:rFonts w:hint="eastAsia" w:ascii="宋体" w:hAnsi="宋体" w:eastAsia="宋体" w:cs="宋体"/>
          <w:bCs/>
          <w:color w:val="auto"/>
          <w:sz w:val="20"/>
          <w:szCs w:val="20"/>
          <w:highlight w:val="none"/>
        </w:rPr>
        <w:t>。</w:t>
      </w:r>
      <w:r>
        <w:rPr>
          <w:rFonts w:hint="eastAsia" w:ascii="宋体" w:hAnsi="宋体" w:cs="宋体"/>
          <w:bCs/>
          <w:color w:val="auto"/>
          <w:sz w:val="20"/>
          <w:szCs w:val="20"/>
          <w:highlight w:val="none"/>
          <w:lang w:eastAsia="zh-CN"/>
        </w:rPr>
        <w:t>中标人</w:t>
      </w:r>
      <w:r>
        <w:rPr>
          <w:rFonts w:hint="eastAsia" w:ascii="宋体" w:hAnsi="宋体" w:eastAsia="宋体" w:cs="宋体"/>
          <w:bCs/>
          <w:color w:val="auto"/>
          <w:sz w:val="20"/>
          <w:szCs w:val="20"/>
          <w:highlight w:val="none"/>
        </w:rPr>
        <w:t>须无条件接收现民众街道市政设施维护</w:t>
      </w:r>
      <w:r>
        <w:rPr>
          <w:rFonts w:hint="eastAsia" w:ascii="宋体" w:hAnsi="宋体" w:eastAsia="宋体" w:cs="宋体"/>
          <w:bCs/>
          <w:color w:val="auto"/>
          <w:sz w:val="20"/>
          <w:szCs w:val="20"/>
          <w:highlight w:val="none"/>
          <w:lang w:eastAsia="zh-CN"/>
        </w:rPr>
        <w:t>前线</w:t>
      </w:r>
      <w:r>
        <w:rPr>
          <w:rFonts w:hint="eastAsia" w:ascii="宋体" w:hAnsi="宋体" w:eastAsia="宋体" w:cs="宋体"/>
          <w:bCs/>
          <w:color w:val="auto"/>
          <w:sz w:val="20"/>
          <w:szCs w:val="20"/>
          <w:highlight w:val="none"/>
        </w:rPr>
        <w:t>作业人员</w:t>
      </w:r>
      <w:r>
        <w:rPr>
          <w:rFonts w:hint="eastAsia" w:ascii="宋体" w:hAnsi="宋体" w:eastAsia="宋体" w:cs="宋体"/>
          <w:bCs/>
          <w:color w:val="auto"/>
          <w:sz w:val="20"/>
          <w:szCs w:val="20"/>
          <w:highlight w:val="none"/>
        </w:rPr>
        <w:t>（</w:t>
      </w:r>
      <w:r>
        <w:rPr>
          <w:rFonts w:hint="eastAsia" w:ascii="宋体" w:hAnsi="宋体" w:cs="宋体"/>
          <w:bCs/>
          <w:color w:val="auto"/>
          <w:sz w:val="20"/>
          <w:szCs w:val="20"/>
          <w:highlight w:val="none"/>
          <w:lang w:val="en-US" w:eastAsia="zh-CN"/>
        </w:rPr>
        <w:t>5</w:t>
      </w:r>
      <w:r>
        <w:rPr>
          <w:rFonts w:hint="eastAsia" w:ascii="宋体" w:hAnsi="宋体" w:eastAsia="宋体" w:cs="宋体"/>
          <w:bCs/>
          <w:color w:val="auto"/>
          <w:sz w:val="20"/>
          <w:szCs w:val="20"/>
          <w:highlight w:val="none"/>
        </w:rPr>
        <w:t>人）</w:t>
      </w:r>
      <w:r>
        <w:rPr>
          <w:rFonts w:hint="eastAsia" w:ascii="宋体" w:hAnsi="宋体" w:eastAsia="宋体" w:cs="宋体"/>
          <w:bCs/>
          <w:color w:val="auto"/>
          <w:sz w:val="20"/>
          <w:szCs w:val="20"/>
          <w:highlight w:val="none"/>
        </w:rPr>
        <w:t>，</w:t>
      </w:r>
      <w:r>
        <w:rPr>
          <w:rFonts w:hint="eastAsia" w:ascii="宋体" w:hAnsi="宋体" w:cs="宋体"/>
          <w:bCs/>
          <w:color w:val="auto"/>
          <w:sz w:val="20"/>
          <w:szCs w:val="20"/>
          <w:highlight w:val="none"/>
          <w:lang w:eastAsia="zh-CN"/>
        </w:rPr>
        <w:t>中标人</w:t>
      </w:r>
      <w:r>
        <w:rPr>
          <w:rFonts w:hint="eastAsia" w:ascii="宋体" w:hAnsi="宋体" w:eastAsia="宋体" w:cs="宋体"/>
          <w:bCs/>
          <w:color w:val="auto"/>
          <w:sz w:val="20"/>
          <w:szCs w:val="20"/>
          <w:highlight w:val="none"/>
        </w:rPr>
        <w:t>负责该部分人员的工人薪金待遇、社会保险等一切费用。根据</w:t>
      </w:r>
      <w:r>
        <w:rPr>
          <w:rFonts w:hint="eastAsia" w:ascii="宋体" w:hAnsi="宋体" w:cs="宋体"/>
          <w:bCs/>
          <w:color w:val="auto"/>
          <w:sz w:val="20"/>
          <w:szCs w:val="20"/>
          <w:highlight w:val="none"/>
          <w:lang w:val="en-US" w:eastAsia="zh-CN"/>
        </w:rPr>
        <w:t>中山市相关规定，</w:t>
      </w:r>
      <w:r>
        <w:rPr>
          <w:rFonts w:hint="eastAsia" w:ascii="宋体" w:hAnsi="宋体" w:eastAsia="宋体" w:cs="宋体"/>
          <w:bCs/>
          <w:color w:val="auto"/>
          <w:sz w:val="20"/>
          <w:szCs w:val="20"/>
          <w:highlight w:val="none"/>
        </w:rPr>
        <w:t>企业工人月基础最低标准按不低于中山市最低工资标准的110%确定。在同等条件下，</w:t>
      </w:r>
      <w:r>
        <w:rPr>
          <w:rFonts w:hint="eastAsia" w:ascii="宋体" w:hAnsi="宋体" w:cs="宋体"/>
          <w:bCs/>
          <w:color w:val="auto"/>
          <w:sz w:val="20"/>
          <w:szCs w:val="20"/>
          <w:highlight w:val="none"/>
          <w:lang w:eastAsia="zh-CN"/>
        </w:rPr>
        <w:t>中标人</w:t>
      </w:r>
      <w:r>
        <w:rPr>
          <w:rFonts w:hint="eastAsia" w:ascii="宋体" w:hAnsi="宋体" w:eastAsia="宋体" w:cs="宋体"/>
          <w:bCs/>
          <w:color w:val="auto"/>
          <w:sz w:val="20"/>
          <w:szCs w:val="20"/>
          <w:highlight w:val="none"/>
        </w:rPr>
        <w:t>应优先聘用民众街道居民作为维护作业人员，协助采购人做好相关工作。本项目原市政设施维护</w:t>
      </w:r>
      <w:r>
        <w:rPr>
          <w:rFonts w:hint="eastAsia" w:ascii="宋体" w:hAnsi="宋体" w:eastAsia="宋体" w:cs="宋体"/>
          <w:bCs/>
          <w:color w:val="auto"/>
          <w:sz w:val="20"/>
          <w:szCs w:val="20"/>
          <w:highlight w:val="none"/>
          <w:lang w:eastAsia="zh-CN"/>
        </w:rPr>
        <w:t>前线</w:t>
      </w:r>
      <w:r>
        <w:rPr>
          <w:rFonts w:hint="eastAsia" w:ascii="宋体" w:hAnsi="宋体" w:eastAsia="宋体" w:cs="宋体"/>
          <w:bCs/>
          <w:color w:val="auto"/>
          <w:sz w:val="20"/>
          <w:szCs w:val="20"/>
          <w:highlight w:val="none"/>
        </w:rPr>
        <w:t>作业人员</w:t>
      </w:r>
      <w:r>
        <w:rPr>
          <w:rFonts w:hint="eastAsia" w:ascii="宋体" w:hAnsi="宋体" w:eastAsia="宋体" w:cs="宋体"/>
          <w:bCs/>
          <w:color w:val="auto"/>
          <w:sz w:val="20"/>
          <w:szCs w:val="20"/>
          <w:highlight w:val="none"/>
        </w:rPr>
        <w:t>（</w:t>
      </w:r>
      <w:r>
        <w:rPr>
          <w:rFonts w:hint="eastAsia" w:ascii="宋体" w:hAnsi="宋体" w:cs="宋体"/>
          <w:bCs/>
          <w:color w:val="auto"/>
          <w:sz w:val="20"/>
          <w:szCs w:val="20"/>
          <w:highlight w:val="none"/>
          <w:lang w:val="en-US" w:eastAsia="zh-CN"/>
        </w:rPr>
        <w:t>5</w:t>
      </w:r>
      <w:r>
        <w:rPr>
          <w:rFonts w:hint="eastAsia" w:ascii="宋体" w:hAnsi="宋体" w:eastAsia="宋体" w:cs="宋体"/>
          <w:bCs/>
          <w:color w:val="auto"/>
          <w:sz w:val="20"/>
          <w:szCs w:val="20"/>
          <w:highlight w:val="none"/>
        </w:rPr>
        <w:t>人）</w:t>
      </w:r>
      <w:r>
        <w:rPr>
          <w:rFonts w:hint="eastAsia" w:ascii="宋体" w:hAnsi="宋体" w:eastAsia="宋体" w:cs="宋体"/>
          <w:bCs/>
          <w:color w:val="auto"/>
          <w:sz w:val="20"/>
          <w:szCs w:val="20"/>
          <w:highlight w:val="none"/>
        </w:rPr>
        <w:t>原则上由</w:t>
      </w:r>
      <w:r>
        <w:rPr>
          <w:rFonts w:hint="eastAsia" w:ascii="宋体" w:hAnsi="宋体" w:cs="宋体"/>
          <w:bCs/>
          <w:color w:val="auto"/>
          <w:sz w:val="20"/>
          <w:szCs w:val="20"/>
          <w:highlight w:val="none"/>
          <w:lang w:eastAsia="zh-CN"/>
        </w:rPr>
        <w:t>中标人</w:t>
      </w:r>
      <w:r>
        <w:rPr>
          <w:rFonts w:hint="eastAsia" w:ascii="宋体" w:hAnsi="宋体" w:eastAsia="宋体" w:cs="宋体"/>
          <w:bCs/>
          <w:color w:val="auto"/>
          <w:sz w:val="20"/>
          <w:szCs w:val="20"/>
          <w:highlight w:val="none"/>
        </w:rPr>
        <w:t>全部接收，需保持原管养（维护）单位转交人员工龄的延续计算</w:t>
      </w:r>
      <w:r>
        <w:rPr>
          <w:rFonts w:hint="eastAsia" w:ascii="宋体" w:hAnsi="宋体" w:cs="宋体"/>
          <w:bCs/>
          <w:color w:val="auto"/>
          <w:sz w:val="20"/>
          <w:szCs w:val="20"/>
          <w:highlight w:val="none"/>
          <w:lang w:eastAsia="zh-CN"/>
        </w:rPr>
        <w:t>和工资待遇不变</w:t>
      </w:r>
      <w:r>
        <w:rPr>
          <w:rFonts w:hint="eastAsia" w:ascii="宋体" w:hAnsi="宋体" w:eastAsia="宋体" w:cs="宋体"/>
          <w:bCs/>
          <w:color w:val="auto"/>
          <w:sz w:val="20"/>
          <w:szCs w:val="20"/>
          <w:highlight w:val="none"/>
        </w:rPr>
        <w:t>。</w:t>
      </w:r>
      <w:r>
        <w:rPr>
          <w:rFonts w:hint="eastAsia" w:ascii="宋体" w:hAnsi="宋体" w:eastAsia="宋体" w:cs="宋体"/>
          <w:b/>
          <w:color w:val="auto"/>
          <w:sz w:val="20"/>
          <w:szCs w:val="20"/>
          <w:highlight w:val="none"/>
        </w:rPr>
        <w:t>（投标时在相关响应表中作出响应或提供承诺书并加盖公章视为满足采购需求。）</w:t>
      </w:r>
    </w:p>
    <w:p w14:paraId="38B4D4A3">
      <w:pPr>
        <w:keepNext w:val="0"/>
        <w:keepLines w:val="0"/>
        <w:pageBreakBefore w:val="0"/>
        <w:widowControl w:val="0"/>
        <w:numPr>
          <w:ilvl w:val="-1"/>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★2、作业设备配置：</w:t>
      </w:r>
    </w:p>
    <w:p w14:paraId="060C40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《作业设备配置表》</w:t>
      </w:r>
    </w:p>
    <w:tbl>
      <w:tblPr>
        <w:tblStyle w:val="5"/>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2541"/>
        <w:gridCol w:w="2453"/>
        <w:gridCol w:w="3072"/>
      </w:tblGrid>
      <w:tr w14:paraId="7FE6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top"/>
          </w:tcPr>
          <w:p w14:paraId="570ADE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序号</w:t>
            </w:r>
          </w:p>
        </w:tc>
        <w:tc>
          <w:tcPr>
            <w:tcW w:w="2541" w:type="dxa"/>
            <w:vAlign w:val="top"/>
          </w:tcPr>
          <w:p w14:paraId="68993B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设备名称</w:t>
            </w:r>
          </w:p>
        </w:tc>
        <w:tc>
          <w:tcPr>
            <w:tcW w:w="2453" w:type="dxa"/>
            <w:vAlign w:val="top"/>
          </w:tcPr>
          <w:p w14:paraId="33C9B3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数量</w:t>
            </w:r>
          </w:p>
        </w:tc>
        <w:tc>
          <w:tcPr>
            <w:tcW w:w="3072" w:type="dxa"/>
            <w:vAlign w:val="top"/>
          </w:tcPr>
          <w:p w14:paraId="2DD985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规格型号参数</w:t>
            </w:r>
          </w:p>
        </w:tc>
      </w:tr>
      <w:tr w14:paraId="4283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top"/>
          </w:tcPr>
          <w:p w14:paraId="1AA1AE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p>
        </w:tc>
        <w:tc>
          <w:tcPr>
            <w:tcW w:w="2541" w:type="dxa"/>
            <w:vAlign w:val="top"/>
          </w:tcPr>
          <w:p w14:paraId="13D2DD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沥青修补王或沥青摊铺机</w:t>
            </w:r>
          </w:p>
        </w:tc>
        <w:tc>
          <w:tcPr>
            <w:tcW w:w="2453" w:type="dxa"/>
            <w:vAlign w:val="top"/>
          </w:tcPr>
          <w:p w14:paraId="70AB5E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1套或1台</w:t>
            </w:r>
          </w:p>
        </w:tc>
        <w:tc>
          <w:tcPr>
            <w:tcW w:w="3072" w:type="dxa"/>
            <w:vAlign w:val="top"/>
          </w:tcPr>
          <w:p w14:paraId="330DAF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标准摊铺宽度≥3m</w:t>
            </w:r>
          </w:p>
        </w:tc>
      </w:tr>
      <w:tr w14:paraId="08ED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top"/>
          </w:tcPr>
          <w:p w14:paraId="64EAA2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2</w:t>
            </w:r>
          </w:p>
        </w:tc>
        <w:tc>
          <w:tcPr>
            <w:tcW w:w="2541" w:type="dxa"/>
            <w:vAlign w:val="top"/>
          </w:tcPr>
          <w:p w14:paraId="21D02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维护作业车</w:t>
            </w:r>
          </w:p>
        </w:tc>
        <w:tc>
          <w:tcPr>
            <w:tcW w:w="2453" w:type="dxa"/>
            <w:vAlign w:val="top"/>
          </w:tcPr>
          <w:p w14:paraId="35B260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rPr>
              <w:t>辆</w:t>
            </w:r>
          </w:p>
        </w:tc>
        <w:tc>
          <w:tcPr>
            <w:tcW w:w="3072" w:type="dxa"/>
            <w:vAlign w:val="top"/>
          </w:tcPr>
          <w:p w14:paraId="750371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其中最少</w:t>
            </w: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rPr>
              <w:t>台为载重4吨以上</w:t>
            </w:r>
          </w:p>
        </w:tc>
      </w:tr>
      <w:tr w14:paraId="57F9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top"/>
          </w:tcPr>
          <w:p w14:paraId="27A3E9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w:t>
            </w:r>
          </w:p>
        </w:tc>
        <w:tc>
          <w:tcPr>
            <w:tcW w:w="2541" w:type="dxa"/>
            <w:vAlign w:val="top"/>
          </w:tcPr>
          <w:p w14:paraId="3CDE90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高空作业车</w:t>
            </w:r>
          </w:p>
        </w:tc>
        <w:tc>
          <w:tcPr>
            <w:tcW w:w="2453" w:type="dxa"/>
            <w:vAlign w:val="top"/>
          </w:tcPr>
          <w:p w14:paraId="1056AB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辆</w:t>
            </w:r>
          </w:p>
        </w:tc>
        <w:tc>
          <w:tcPr>
            <w:tcW w:w="3072" w:type="dxa"/>
            <w:vAlign w:val="top"/>
          </w:tcPr>
          <w:p w14:paraId="04CFDB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16米或以上</w:t>
            </w:r>
          </w:p>
        </w:tc>
      </w:tr>
      <w:tr w14:paraId="7D7C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top"/>
          </w:tcPr>
          <w:p w14:paraId="6CFE32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4</w:t>
            </w:r>
          </w:p>
        </w:tc>
        <w:tc>
          <w:tcPr>
            <w:tcW w:w="2541" w:type="dxa"/>
            <w:vAlign w:val="top"/>
          </w:tcPr>
          <w:p w14:paraId="49A61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维护巡查车</w:t>
            </w:r>
          </w:p>
        </w:tc>
        <w:tc>
          <w:tcPr>
            <w:tcW w:w="2453" w:type="dxa"/>
            <w:vAlign w:val="top"/>
          </w:tcPr>
          <w:p w14:paraId="0C6FCA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sz w:val="21"/>
                <w:highlight w:val="none"/>
              </w:rPr>
              <w:t>3辆</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其中1辆专供驻点人员使用</w:t>
            </w:r>
            <w:r>
              <w:rPr>
                <w:rFonts w:hint="eastAsia" w:ascii="宋体" w:hAnsi="宋体" w:eastAsia="宋体" w:cs="宋体"/>
                <w:color w:val="auto"/>
                <w:sz w:val="21"/>
                <w:highlight w:val="none"/>
                <w:lang w:eastAsia="zh-CN"/>
              </w:rPr>
              <w:t>）</w:t>
            </w:r>
          </w:p>
        </w:tc>
        <w:tc>
          <w:tcPr>
            <w:tcW w:w="3072" w:type="dxa"/>
            <w:vAlign w:val="top"/>
          </w:tcPr>
          <w:p w14:paraId="3E6584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机动车，不少于1300cc</w:t>
            </w:r>
          </w:p>
        </w:tc>
      </w:tr>
      <w:tr w14:paraId="3E27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top"/>
          </w:tcPr>
          <w:p w14:paraId="6D967E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w:t>
            </w:r>
          </w:p>
        </w:tc>
        <w:tc>
          <w:tcPr>
            <w:tcW w:w="2541" w:type="dxa"/>
            <w:vAlign w:val="top"/>
          </w:tcPr>
          <w:p w14:paraId="6F429A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沥青灌缝机</w:t>
            </w:r>
          </w:p>
        </w:tc>
        <w:tc>
          <w:tcPr>
            <w:tcW w:w="2453" w:type="dxa"/>
            <w:vAlign w:val="top"/>
          </w:tcPr>
          <w:p w14:paraId="59609E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套</w:t>
            </w:r>
          </w:p>
        </w:tc>
        <w:tc>
          <w:tcPr>
            <w:tcW w:w="3072" w:type="dxa"/>
            <w:vAlign w:val="top"/>
          </w:tcPr>
          <w:p w14:paraId="652544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冷料仓容积≥90L</w:t>
            </w:r>
          </w:p>
        </w:tc>
      </w:tr>
      <w:tr w14:paraId="6D6B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top"/>
          </w:tcPr>
          <w:p w14:paraId="4BABAB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w:t>
            </w:r>
          </w:p>
        </w:tc>
        <w:tc>
          <w:tcPr>
            <w:tcW w:w="2541" w:type="dxa"/>
            <w:vAlign w:val="top"/>
          </w:tcPr>
          <w:p w14:paraId="7BC81D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沥青开槽机</w:t>
            </w:r>
          </w:p>
        </w:tc>
        <w:tc>
          <w:tcPr>
            <w:tcW w:w="2453" w:type="dxa"/>
            <w:vAlign w:val="top"/>
          </w:tcPr>
          <w:p w14:paraId="0FA6BE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套</w:t>
            </w:r>
          </w:p>
        </w:tc>
        <w:tc>
          <w:tcPr>
            <w:tcW w:w="3072" w:type="dxa"/>
            <w:vAlign w:val="top"/>
          </w:tcPr>
          <w:p w14:paraId="763E51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开槽深度：0~50mm</w:t>
            </w:r>
          </w:p>
          <w:p w14:paraId="4B4440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开槽宽度：0~50mm</w:t>
            </w:r>
          </w:p>
        </w:tc>
      </w:tr>
      <w:tr w14:paraId="613B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top"/>
          </w:tcPr>
          <w:p w14:paraId="3B61ED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sz w:val="21"/>
                <w:highlight w:val="none"/>
                <w:lang w:val="en-US" w:eastAsia="zh-CN"/>
              </w:rPr>
              <w:t>7</w:t>
            </w:r>
          </w:p>
        </w:tc>
        <w:tc>
          <w:tcPr>
            <w:tcW w:w="2541" w:type="dxa"/>
            <w:vAlign w:val="top"/>
          </w:tcPr>
          <w:p w14:paraId="1B6411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高压水车</w:t>
            </w:r>
          </w:p>
        </w:tc>
        <w:tc>
          <w:tcPr>
            <w:tcW w:w="2453" w:type="dxa"/>
            <w:vAlign w:val="top"/>
          </w:tcPr>
          <w:p w14:paraId="53F2B2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台</w:t>
            </w:r>
          </w:p>
        </w:tc>
        <w:tc>
          <w:tcPr>
            <w:tcW w:w="3072" w:type="dxa"/>
            <w:vAlign w:val="top"/>
          </w:tcPr>
          <w:p w14:paraId="4A6CA3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罐体容积≥5m³</w:t>
            </w:r>
          </w:p>
        </w:tc>
      </w:tr>
      <w:tr w14:paraId="579D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top"/>
          </w:tcPr>
          <w:p w14:paraId="45442F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highlight w:val="none"/>
              </w:rPr>
              <w:t>8</w:t>
            </w:r>
          </w:p>
        </w:tc>
        <w:tc>
          <w:tcPr>
            <w:tcW w:w="2541" w:type="dxa"/>
            <w:vAlign w:val="top"/>
          </w:tcPr>
          <w:p w14:paraId="21EBC8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发电机组</w:t>
            </w:r>
          </w:p>
        </w:tc>
        <w:tc>
          <w:tcPr>
            <w:tcW w:w="2453" w:type="dxa"/>
            <w:vAlign w:val="top"/>
          </w:tcPr>
          <w:p w14:paraId="24A861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套</w:t>
            </w:r>
          </w:p>
        </w:tc>
        <w:tc>
          <w:tcPr>
            <w:tcW w:w="3072" w:type="dxa"/>
            <w:vAlign w:val="top"/>
          </w:tcPr>
          <w:p w14:paraId="49D15D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50KW以上</w:t>
            </w:r>
          </w:p>
        </w:tc>
      </w:tr>
      <w:tr w14:paraId="0DDE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top"/>
          </w:tcPr>
          <w:p w14:paraId="1CDF5E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highlight w:val="none"/>
              </w:rPr>
              <w:t>9</w:t>
            </w:r>
          </w:p>
        </w:tc>
        <w:tc>
          <w:tcPr>
            <w:tcW w:w="2541" w:type="dxa"/>
            <w:vAlign w:val="top"/>
          </w:tcPr>
          <w:p w14:paraId="577417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rPr>
              <w:t>运输车</w:t>
            </w:r>
          </w:p>
        </w:tc>
        <w:tc>
          <w:tcPr>
            <w:tcW w:w="2453" w:type="dxa"/>
            <w:vAlign w:val="top"/>
          </w:tcPr>
          <w:p w14:paraId="533E16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台</w:t>
            </w:r>
          </w:p>
        </w:tc>
        <w:tc>
          <w:tcPr>
            <w:tcW w:w="3072" w:type="dxa"/>
            <w:vAlign w:val="top"/>
          </w:tcPr>
          <w:p w14:paraId="598186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r>
      <w:tr w14:paraId="0525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top"/>
          </w:tcPr>
          <w:p w14:paraId="43224A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highlight w:val="none"/>
              </w:rPr>
              <w:t>10</w:t>
            </w:r>
          </w:p>
        </w:tc>
        <w:tc>
          <w:tcPr>
            <w:tcW w:w="2541" w:type="dxa"/>
            <w:vAlign w:val="top"/>
          </w:tcPr>
          <w:p w14:paraId="3E2341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警示标识和交通疏导设施</w:t>
            </w:r>
          </w:p>
        </w:tc>
        <w:tc>
          <w:tcPr>
            <w:tcW w:w="2453" w:type="dxa"/>
            <w:vAlign w:val="top"/>
          </w:tcPr>
          <w:p w14:paraId="074DB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20套</w:t>
            </w:r>
          </w:p>
        </w:tc>
        <w:tc>
          <w:tcPr>
            <w:tcW w:w="3072" w:type="dxa"/>
            <w:vAlign w:val="top"/>
          </w:tcPr>
          <w:p w14:paraId="7E0988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r>
      <w:tr w14:paraId="569F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top"/>
          </w:tcPr>
          <w:p w14:paraId="29D2B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highlight w:val="none"/>
              </w:rPr>
              <w:t>12</w:t>
            </w:r>
          </w:p>
        </w:tc>
        <w:tc>
          <w:tcPr>
            <w:tcW w:w="2541" w:type="dxa"/>
            <w:vAlign w:val="top"/>
          </w:tcPr>
          <w:p w14:paraId="5CDE50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界缝机</w:t>
            </w:r>
          </w:p>
        </w:tc>
        <w:tc>
          <w:tcPr>
            <w:tcW w:w="2453" w:type="dxa"/>
            <w:vAlign w:val="top"/>
          </w:tcPr>
          <w:p w14:paraId="67575A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台</w:t>
            </w:r>
          </w:p>
        </w:tc>
        <w:tc>
          <w:tcPr>
            <w:tcW w:w="3072" w:type="dxa"/>
            <w:vAlign w:val="top"/>
          </w:tcPr>
          <w:p w14:paraId="6930A7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r>
      <w:tr w14:paraId="70FF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top"/>
          </w:tcPr>
          <w:p w14:paraId="3D0C80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highlight w:val="none"/>
              </w:rPr>
              <w:t>13</w:t>
            </w:r>
          </w:p>
        </w:tc>
        <w:tc>
          <w:tcPr>
            <w:tcW w:w="2541" w:type="dxa"/>
            <w:vAlign w:val="top"/>
          </w:tcPr>
          <w:p w14:paraId="499A7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中型钩机</w:t>
            </w:r>
          </w:p>
        </w:tc>
        <w:tc>
          <w:tcPr>
            <w:tcW w:w="2453" w:type="dxa"/>
            <w:vAlign w:val="top"/>
          </w:tcPr>
          <w:p w14:paraId="79B9FB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台</w:t>
            </w:r>
          </w:p>
        </w:tc>
        <w:tc>
          <w:tcPr>
            <w:tcW w:w="3072" w:type="dxa"/>
            <w:vAlign w:val="top"/>
          </w:tcPr>
          <w:p w14:paraId="29F91B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r>
      <w:tr w14:paraId="0C18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top"/>
          </w:tcPr>
          <w:p w14:paraId="4ADA59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highlight w:val="none"/>
              </w:rPr>
              <w:t>14</w:t>
            </w:r>
          </w:p>
        </w:tc>
        <w:tc>
          <w:tcPr>
            <w:tcW w:w="2541" w:type="dxa"/>
            <w:vAlign w:val="top"/>
          </w:tcPr>
          <w:p w14:paraId="748DB2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铁马</w:t>
            </w:r>
          </w:p>
        </w:tc>
        <w:tc>
          <w:tcPr>
            <w:tcW w:w="2453" w:type="dxa"/>
            <w:vAlign w:val="top"/>
          </w:tcPr>
          <w:p w14:paraId="18DC7A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500</w:t>
            </w:r>
            <w:r>
              <w:rPr>
                <w:rFonts w:hint="eastAsia" w:ascii="宋体" w:hAnsi="宋体" w:eastAsia="宋体" w:cs="宋体"/>
                <w:color w:val="auto"/>
                <w:sz w:val="21"/>
                <w:highlight w:val="none"/>
              </w:rPr>
              <w:t>个</w:t>
            </w:r>
          </w:p>
        </w:tc>
        <w:tc>
          <w:tcPr>
            <w:tcW w:w="3072" w:type="dxa"/>
            <w:vAlign w:val="top"/>
          </w:tcPr>
          <w:p w14:paraId="396BE7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r>
      <w:tr w14:paraId="63D5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top"/>
          </w:tcPr>
          <w:p w14:paraId="4B1469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val="en-US" w:eastAsia="zh-CN"/>
              </w:rPr>
              <w:t>5</w:t>
            </w:r>
          </w:p>
        </w:tc>
        <w:tc>
          <w:tcPr>
            <w:tcW w:w="2541" w:type="dxa"/>
            <w:vAlign w:val="top"/>
          </w:tcPr>
          <w:p w14:paraId="6DFD04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切割机、焊接机</w:t>
            </w:r>
          </w:p>
        </w:tc>
        <w:tc>
          <w:tcPr>
            <w:tcW w:w="2453" w:type="dxa"/>
            <w:vAlign w:val="top"/>
          </w:tcPr>
          <w:p w14:paraId="4F53F8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lang w:val="en-US" w:eastAsia="zh-CN"/>
              </w:rPr>
              <w:t>6台</w:t>
            </w:r>
          </w:p>
        </w:tc>
        <w:tc>
          <w:tcPr>
            <w:tcW w:w="3072" w:type="dxa"/>
            <w:vAlign w:val="top"/>
          </w:tcPr>
          <w:p w14:paraId="52E83C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r>
      <w:tr w14:paraId="36A5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top"/>
          </w:tcPr>
          <w:p w14:paraId="45C1AC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16</w:t>
            </w:r>
          </w:p>
        </w:tc>
        <w:tc>
          <w:tcPr>
            <w:tcW w:w="2541" w:type="dxa"/>
            <w:vAlign w:val="top"/>
          </w:tcPr>
          <w:p w14:paraId="294DB5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rPr>
              <w:t>沥青压路机</w:t>
            </w:r>
          </w:p>
        </w:tc>
        <w:tc>
          <w:tcPr>
            <w:tcW w:w="2453" w:type="dxa"/>
            <w:vAlign w:val="top"/>
          </w:tcPr>
          <w:p w14:paraId="24EC3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highlight w:val="none"/>
              </w:rPr>
              <w:t>1台</w:t>
            </w:r>
          </w:p>
        </w:tc>
        <w:tc>
          <w:tcPr>
            <w:tcW w:w="3072" w:type="dxa"/>
            <w:vAlign w:val="top"/>
          </w:tcPr>
          <w:p w14:paraId="5FE0C0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rPr>
            </w:pPr>
            <w:r>
              <w:rPr>
                <w:rFonts w:hint="eastAsia" w:ascii="宋体" w:hAnsi="宋体" w:eastAsia="宋体" w:cs="宋体"/>
                <w:color w:val="auto"/>
                <w:highlight w:val="none"/>
              </w:rPr>
              <w:t>3吨以上</w:t>
            </w:r>
          </w:p>
        </w:tc>
      </w:tr>
      <w:tr w14:paraId="5EB9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top"/>
          </w:tcPr>
          <w:p w14:paraId="12C665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17</w:t>
            </w:r>
          </w:p>
        </w:tc>
        <w:tc>
          <w:tcPr>
            <w:tcW w:w="2541" w:type="dxa"/>
            <w:vAlign w:val="top"/>
          </w:tcPr>
          <w:p w14:paraId="11FE78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rPr>
              <w:t>路面铣刨机</w:t>
            </w:r>
          </w:p>
        </w:tc>
        <w:tc>
          <w:tcPr>
            <w:tcW w:w="2453" w:type="dxa"/>
            <w:vAlign w:val="top"/>
          </w:tcPr>
          <w:p w14:paraId="17E55D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highlight w:val="none"/>
              </w:rPr>
              <w:t>1台</w:t>
            </w:r>
          </w:p>
        </w:tc>
        <w:tc>
          <w:tcPr>
            <w:tcW w:w="3072" w:type="dxa"/>
            <w:vAlign w:val="top"/>
          </w:tcPr>
          <w:p w14:paraId="178DD3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highlight w:val="none"/>
              </w:rPr>
            </w:pPr>
            <w:r>
              <w:rPr>
                <w:rFonts w:hint="eastAsia" w:ascii="宋体" w:hAnsi="宋体" w:eastAsia="宋体" w:cs="宋体"/>
                <w:color w:val="auto"/>
                <w:highlight w:val="none"/>
              </w:rPr>
              <w:t>铣刨宽度:350mm以上</w:t>
            </w:r>
          </w:p>
        </w:tc>
      </w:tr>
    </w:tbl>
    <w:p w14:paraId="3355E1B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highlight w:val="none"/>
        </w:rPr>
      </w:pPr>
      <w:r>
        <w:rPr>
          <w:rFonts w:hint="eastAsia" w:ascii="宋体" w:hAnsi="宋体" w:eastAsia="宋体" w:cs="宋体"/>
          <w:b/>
          <w:bCs/>
          <w:color w:val="auto"/>
          <w:sz w:val="21"/>
          <w:highlight w:val="none"/>
          <w:lang w:val="en-US" w:eastAsia="zh-CN"/>
        </w:rPr>
        <w:t>注：</w:t>
      </w:r>
      <w:r>
        <w:rPr>
          <w:rFonts w:hint="eastAsia" w:ascii="宋体" w:hAnsi="宋体" w:eastAsia="宋体" w:cs="宋体"/>
          <w:b/>
          <w:bCs/>
          <w:color w:val="auto"/>
          <w:sz w:val="21"/>
          <w:highlight w:val="none"/>
        </w:rPr>
        <w:t>★</w:t>
      </w:r>
      <w:r>
        <w:rPr>
          <w:rFonts w:hint="eastAsia" w:ascii="宋体" w:hAnsi="宋体" w:eastAsia="宋体" w:cs="宋体"/>
          <w:b/>
          <w:bCs/>
          <w:color w:val="auto"/>
          <w:sz w:val="21"/>
          <w:highlight w:val="none"/>
          <w:lang w:val="en-US" w:eastAsia="zh-CN"/>
        </w:rPr>
        <w:t>2.1</w:t>
      </w:r>
      <w:r>
        <w:rPr>
          <w:rFonts w:hint="eastAsia" w:ascii="宋体" w:hAnsi="宋体" w:eastAsia="宋体" w:cs="宋体"/>
          <w:b/>
          <w:bCs/>
          <w:color w:val="auto"/>
          <w:sz w:val="21"/>
          <w:highlight w:val="none"/>
          <w:lang w:eastAsia="zh-CN"/>
        </w:rPr>
        <w:t>投标人</w:t>
      </w:r>
      <w:r>
        <w:rPr>
          <w:rFonts w:hint="eastAsia" w:ascii="宋体" w:hAnsi="宋体" w:eastAsia="宋体" w:cs="宋体"/>
          <w:b/>
          <w:bCs/>
          <w:color w:val="auto"/>
          <w:sz w:val="21"/>
          <w:highlight w:val="none"/>
        </w:rPr>
        <w:t>按《作业设备配置表》进行设备配置，但不限于上表的设备数量</w:t>
      </w:r>
      <w:r>
        <w:rPr>
          <w:rFonts w:hint="eastAsia" w:ascii="宋体" w:hAnsi="宋体" w:cs="宋体"/>
          <w:b/>
          <w:bCs/>
          <w:color w:val="auto"/>
          <w:sz w:val="21"/>
          <w:highlight w:val="none"/>
          <w:lang w:val="en-US" w:eastAsia="zh-CN"/>
        </w:rPr>
        <w:t>和</w:t>
      </w:r>
      <w:r>
        <w:rPr>
          <w:rFonts w:hint="eastAsia" w:ascii="宋体" w:hAnsi="宋体" w:eastAsia="宋体" w:cs="宋体"/>
          <w:b/>
          <w:bCs/>
          <w:color w:val="auto"/>
          <w:sz w:val="21"/>
          <w:highlight w:val="none"/>
          <w:lang w:val="en-US" w:eastAsia="zh-CN"/>
        </w:rPr>
        <w:t>规格型号</w:t>
      </w:r>
      <w:r>
        <w:rPr>
          <w:rFonts w:hint="eastAsia" w:ascii="宋体" w:hAnsi="宋体" w:eastAsia="宋体" w:cs="宋体"/>
          <w:b/>
          <w:bCs/>
          <w:color w:val="auto"/>
          <w:sz w:val="21"/>
          <w:highlight w:val="none"/>
        </w:rPr>
        <w:t>，须保证投入的设备能满足本项目的需要。</w:t>
      </w:r>
      <w:r>
        <w:rPr>
          <w:rFonts w:hint="eastAsia" w:ascii="宋体" w:hAnsi="宋体" w:cs="宋体"/>
          <w:b/>
          <w:bCs/>
          <w:color w:val="auto"/>
          <w:sz w:val="21"/>
          <w:highlight w:val="none"/>
          <w:lang w:eastAsia="zh-CN"/>
        </w:rPr>
        <w:t>（投标时在相关响应表中作出响应或提供承诺书并加盖公章视为满足采购需求。）</w:t>
      </w:r>
      <w:r>
        <w:rPr>
          <w:rFonts w:hint="eastAsia" w:ascii="宋体" w:hAnsi="宋体" w:eastAsia="宋体" w:cs="宋体"/>
          <w:b/>
          <w:bCs/>
          <w:color w:val="auto"/>
          <w:sz w:val="21"/>
          <w:highlight w:val="none"/>
        </w:rPr>
        <w:t>。</w:t>
      </w:r>
    </w:p>
    <w:p w14:paraId="09CC80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lang w:eastAsia="zh-CN"/>
        </w:rPr>
      </w:pPr>
      <w:r>
        <w:rPr>
          <w:rFonts w:hint="eastAsia" w:ascii="宋体" w:hAnsi="宋体" w:eastAsia="宋体" w:cs="宋体"/>
          <w:b/>
          <w:color w:val="auto"/>
          <w:sz w:val="21"/>
          <w:highlight w:val="none"/>
        </w:rPr>
        <w:t>★2.</w:t>
      </w:r>
      <w:r>
        <w:rPr>
          <w:rFonts w:hint="eastAsia" w:ascii="宋体" w:hAnsi="宋体" w:eastAsia="宋体" w:cs="宋体"/>
          <w:b/>
          <w:color w:val="auto"/>
          <w:sz w:val="21"/>
          <w:highlight w:val="none"/>
          <w:lang w:val="en-US" w:eastAsia="zh-CN"/>
        </w:rPr>
        <w:t>2</w:t>
      </w:r>
      <w:r>
        <w:rPr>
          <w:rFonts w:hint="eastAsia" w:ascii="宋体" w:hAnsi="宋体" w:eastAsia="宋体" w:cs="宋体"/>
          <w:b/>
          <w:color w:val="auto"/>
          <w:sz w:val="21"/>
          <w:highlight w:val="none"/>
        </w:rPr>
        <w:t>、投标人须承诺中标后投入的机械设备在合同期内必须专用于本项目，若需变更机械设备则需征得采购人同意，采购人</w:t>
      </w:r>
      <w:r>
        <w:rPr>
          <w:rFonts w:hint="eastAsia" w:ascii="宋体" w:hAnsi="宋体" w:eastAsia="宋体" w:cs="宋体"/>
          <w:b/>
          <w:color w:val="auto"/>
          <w:sz w:val="21"/>
          <w:highlight w:val="none"/>
          <w:lang w:val="en-US" w:eastAsia="zh-CN"/>
        </w:rPr>
        <w:t>须</w:t>
      </w:r>
      <w:r>
        <w:rPr>
          <w:rFonts w:hint="eastAsia" w:ascii="宋体" w:hAnsi="宋体" w:eastAsia="宋体" w:cs="宋体"/>
          <w:b/>
          <w:color w:val="auto"/>
          <w:sz w:val="21"/>
          <w:highlight w:val="none"/>
        </w:rPr>
        <w:t>在签订合同前要求对中标人所投入的机械设备进行实物核查备案，若发现中标人不按要求配备机械设备，视为中标人放弃中标资格，一切后果由中标人承担。合同期内采购人将根据项目需要要求添加车辆及设备的，中标人须无条件按采购人要求更新或升级作业的设备或车辆。</w:t>
      </w:r>
      <w:r>
        <w:rPr>
          <w:rFonts w:hint="eastAsia" w:ascii="宋体" w:hAnsi="宋体" w:cs="宋体"/>
          <w:b/>
          <w:bCs/>
          <w:color w:val="auto"/>
          <w:sz w:val="21"/>
          <w:highlight w:val="none"/>
          <w:lang w:eastAsia="zh-CN"/>
        </w:rPr>
        <w:t>（投标时在相关响应表中作出响应或提供承诺书并加盖公章视为满足采购需求。）</w:t>
      </w:r>
    </w:p>
    <w:p w14:paraId="0F317F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lang w:eastAsia="zh-CN"/>
        </w:rPr>
      </w:pPr>
      <w:r>
        <w:rPr>
          <w:rFonts w:hint="eastAsia" w:ascii="宋体" w:hAnsi="宋体" w:eastAsia="宋体" w:cs="宋体"/>
          <w:b/>
          <w:color w:val="auto"/>
          <w:sz w:val="21"/>
          <w:highlight w:val="none"/>
        </w:rPr>
        <w:t>★2.</w:t>
      </w:r>
      <w:r>
        <w:rPr>
          <w:rFonts w:hint="eastAsia" w:ascii="宋体" w:hAnsi="宋体" w:eastAsia="宋体" w:cs="宋体"/>
          <w:b/>
          <w:color w:val="auto"/>
          <w:sz w:val="21"/>
          <w:highlight w:val="none"/>
          <w:lang w:val="en-US" w:eastAsia="zh-CN"/>
        </w:rPr>
        <w:t>3</w:t>
      </w:r>
      <w:r>
        <w:rPr>
          <w:rFonts w:hint="eastAsia" w:ascii="宋体" w:hAnsi="宋体" w:eastAsia="宋体" w:cs="宋体"/>
          <w:b/>
          <w:color w:val="auto"/>
          <w:sz w:val="21"/>
          <w:highlight w:val="none"/>
        </w:rPr>
        <w:t>、维护巡查车需安装GPS</w:t>
      </w:r>
      <w:r>
        <w:rPr>
          <w:rFonts w:hint="default" w:ascii="宋体" w:hAnsi="宋体" w:cs="宋体"/>
          <w:b/>
          <w:color w:val="auto"/>
          <w:sz w:val="21"/>
          <w:highlight w:val="none"/>
        </w:rPr>
        <w:t>北斗</w:t>
      </w:r>
      <w:r>
        <w:rPr>
          <w:rFonts w:hint="eastAsia" w:ascii="宋体" w:hAnsi="宋体" w:eastAsia="宋体" w:cs="宋体"/>
          <w:b/>
          <w:color w:val="auto"/>
          <w:sz w:val="21"/>
          <w:highlight w:val="none"/>
        </w:rPr>
        <w:t>卫星导航定位系统，由中标人负责安装调试。</w:t>
      </w:r>
      <w:r>
        <w:rPr>
          <w:rFonts w:hint="eastAsia" w:ascii="宋体" w:hAnsi="宋体" w:cs="宋体"/>
          <w:b/>
          <w:bCs/>
          <w:color w:val="auto"/>
          <w:sz w:val="21"/>
          <w:highlight w:val="none"/>
          <w:lang w:eastAsia="zh-CN"/>
        </w:rPr>
        <w:t>（投标时在相关响应表中作出响应或提供承诺书并加盖公章视为满足采购需求。）</w:t>
      </w:r>
    </w:p>
    <w:p w14:paraId="37F7BA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1"/>
          <w:highlight w:val="none"/>
          <w:lang w:eastAsia="zh-CN"/>
        </w:rPr>
      </w:pPr>
      <w:r>
        <w:rPr>
          <w:rFonts w:hint="eastAsia" w:ascii="宋体" w:hAnsi="宋体" w:eastAsia="宋体" w:cs="宋体"/>
          <w:b/>
          <w:color w:val="auto"/>
          <w:sz w:val="21"/>
          <w:highlight w:val="none"/>
        </w:rPr>
        <w:t>★2.</w:t>
      </w:r>
      <w:r>
        <w:rPr>
          <w:rFonts w:hint="eastAsia" w:ascii="宋体" w:hAnsi="宋体" w:eastAsia="宋体" w:cs="宋体"/>
          <w:b/>
          <w:color w:val="auto"/>
          <w:sz w:val="21"/>
          <w:highlight w:val="none"/>
          <w:lang w:val="en-US" w:eastAsia="zh-CN"/>
        </w:rPr>
        <w:t>4</w:t>
      </w:r>
      <w:r>
        <w:rPr>
          <w:rFonts w:hint="eastAsia" w:ascii="宋体" w:hAnsi="宋体" w:eastAsia="宋体" w:cs="宋体"/>
          <w:b/>
          <w:color w:val="auto"/>
          <w:sz w:val="21"/>
          <w:highlight w:val="none"/>
        </w:rPr>
        <w:t>、投标人须承诺中标后，接受采购人不定期到中标人为本项目设立的项目部，对投入本项目的机械设备进行核查。若采购人查验当天，设备数量少于投标文件中承诺的机械设备数量，中标人向采购人缴纳违约金10000元/台/次。</w:t>
      </w:r>
      <w:r>
        <w:rPr>
          <w:rFonts w:hint="eastAsia" w:ascii="宋体" w:hAnsi="宋体" w:cs="宋体"/>
          <w:b/>
          <w:bCs/>
          <w:color w:val="auto"/>
          <w:sz w:val="21"/>
          <w:highlight w:val="none"/>
          <w:lang w:eastAsia="zh-CN"/>
        </w:rPr>
        <w:t>（投标时在相关响应表中作出响应或提供承诺书并加盖公章视为满足采购需求。）</w:t>
      </w:r>
    </w:p>
    <w:p w14:paraId="1C8B46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3、保险：</w:t>
      </w:r>
    </w:p>
    <w:p w14:paraId="326AA54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3.1、维护设备保险：服务期内，中标人负责拟投维护设备的保险。维护设备维护、保养、调试等均由中标人负责，确保每次维护设备使用性和安全性。</w:t>
      </w:r>
    </w:p>
    <w:p w14:paraId="015492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3.2、人员保险：中标人负责其派出的现场维护作业人员的人身意外保险。</w:t>
      </w:r>
    </w:p>
    <w:p w14:paraId="31C404F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rPr>
        <w:t>★</w:t>
      </w:r>
      <w:r>
        <w:rPr>
          <w:rFonts w:hint="eastAsia" w:ascii="宋体" w:hAnsi="宋体" w:eastAsia="宋体" w:cs="宋体"/>
          <w:color w:val="auto"/>
          <w:sz w:val="21"/>
          <w:highlight w:val="none"/>
          <w:lang w:val="en-US" w:eastAsia="zh-CN"/>
        </w:rPr>
        <w:t>3.3</w:t>
      </w:r>
      <w:r>
        <w:rPr>
          <w:rFonts w:hint="eastAsia" w:ascii="宋体" w:hAnsi="宋体" w:eastAsia="宋体" w:cs="宋体"/>
          <w:b/>
          <w:bCs/>
          <w:color w:val="auto"/>
          <w:sz w:val="21"/>
          <w:highlight w:val="none"/>
        </w:rPr>
        <w:t>服务期内，中标人负责</w:t>
      </w:r>
      <w:r>
        <w:rPr>
          <w:rFonts w:hint="eastAsia" w:ascii="宋体" w:hAnsi="宋体" w:eastAsia="宋体" w:cs="宋体"/>
          <w:b/>
          <w:bCs/>
          <w:color w:val="auto"/>
          <w:sz w:val="21"/>
          <w:highlight w:val="none"/>
          <w:lang w:val="en-US" w:eastAsia="zh-CN"/>
        </w:rPr>
        <w:t>购买道路、用电设施第三方损失保险。任何因道路、用电设施维护不及时或其他不可预料情况发生而造成的第三方损失，均由中标人负责对第三方赔付</w:t>
      </w:r>
      <w:r>
        <w:rPr>
          <w:rFonts w:hint="default" w:ascii="宋体" w:hAnsi="宋体" w:cs="宋体"/>
          <w:b/>
          <w:bCs/>
          <w:color w:val="auto"/>
          <w:sz w:val="21"/>
          <w:highlight w:val="none"/>
          <w:lang w:eastAsia="zh-CN"/>
        </w:rPr>
        <w:t>及因此引起的法律风险</w:t>
      </w:r>
      <w:r>
        <w:rPr>
          <w:rFonts w:hint="eastAsia" w:ascii="宋体" w:hAnsi="宋体" w:eastAsia="宋体" w:cs="宋体"/>
          <w:b/>
          <w:bCs/>
          <w:color w:val="auto"/>
          <w:sz w:val="21"/>
          <w:highlight w:val="none"/>
          <w:lang w:val="en-US" w:eastAsia="zh-CN"/>
        </w:rPr>
        <w:t>。</w:t>
      </w:r>
    </w:p>
    <w:p w14:paraId="00C09B5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4、管理要求：</w:t>
      </w:r>
    </w:p>
    <w:p w14:paraId="04A246E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★4.1、中标人在中标后需提供满足行业要求、符合上级规定（包括但不限于《市政设施养护维修服务规范》（T/ZSZX 002—2022）等）的具体服务方案，详细列出项目实施计划。中标人在中标后3个月内须向采购人提供本项目完整的设施清单明细表，每年度提供需更换的设施清单。</w:t>
      </w:r>
    </w:p>
    <w:p w14:paraId="1C7729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auto"/>
          <w:highlight w:val="none"/>
        </w:rPr>
      </w:pPr>
      <w:r>
        <w:rPr>
          <w:rFonts w:hint="eastAsia" w:ascii="宋体" w:hAnsi="宋体" w:eastAsia="宋体" w:cs="宋体"/>
          <w:b/>
          <w:color w:val="auto"/>
          <w:sz w:val="21"/>
          <w:highlight w:val="none"/>
        </w:rPr>
        <w:t>★</w:t>
      </w:r>
      <w:r>
        <w:rPr>
          <w:rFonts w:hint="eastAsia" w:ascii="宋体" w:hAnsi="宋体" w:eastAsia="宋体" w:cs="宋体"/>
          <w:b/>
          <w:bCs w:val="0"/>
          <w:color w:val="auto"/>
          <w:sz w:val="21"/>
          <w:highlight w:val="none"/>
        </w:rPr>
        <w:t>4.2、中标人在中标后须制定完善的创文巩卫、“百千万工程”以及争创省、市的市政设施维护示范（优秀）项目的具体实施方案</w:t>
      </w:r>
      <w:r>
        <w:rPr>
          <w:rFonts w:hint="default" w:ascii="宋体" w:hAnsi="宋体" w:cs="宋体"/>
          <w:b/>
          <w:bCs w:val="0"/>
          <w:color w:val="auto"/>
          <w:sz w:val="21"/>
          <w:highlight w:val="none"/>
        </w:rPr>
        <w:t>，</w:t>
      </w:r>
      <w:r>
        <w:rPr>
          <w:rFonts w:hint="eastAsia" w:ascii="宋体" w:hAnsi="宋体" w:eastAsia="宋体" w:cs="宋体"/>
          <w:b/>
          <w:bCs w:val="0"/>
          <w:color w:val="auto"/>
          <w:sz w:val="21"/>
          <w:szCs w:val="21"/>
          <w:highlight w:val="none"/>
          <w:lang w:val="en-US" w:eastAsia="zh-CN"/>
        </w:rPr>
        <w:t>每年至少完成一座公厕适老化改造</w:t>
      </w:r>
      <w:r>
        <w:rPr>
          <w:rFonts w:hint="eastAsia" w:ascii="宋体" w:hAnsi="宋体" w:eastAsia="宋体" w:cs="宋体"/>
          <w:b/>
          <w:bCs w:val="0"/>
          <w:color w:val="auto"/>
          <w:sz w:val="21"/>
          <w:szCs w:val="21"/>
          <w:highlight w:val="none"/>
        </w:rPr>
        <w:t>等项目任务</w:t>
      </w:r>
      <w:r>
        <w:rPr>
          <w:rFonts w:hint="eastAsia" w:ascii="宋体" w:hAnsi="宋体" w:cs="宋体"/>
          <w:b/>
          <w:bCs w:val="0"/>
          <w:color w:val="auto"/>
          <w:sz w:val="21"/>
          <w:szCs w:val="21"/>
          <w:highlight w:val="none"/>
          <w:lang w:eastAsia="zh-CN"/>
        </w:rPr>
        <w:t>（按照市城管局任务要求进行调整）</w:t>
      </w:r>
      <w:r>
        <w:rPr>
          <w:rFonts w:hint="eastAsia" w:ascii="宋体" w:hAnsi="宋体" w:eastAsia="宋体" w:cs="宋体"/>
          <w:b/>
          <w:bCs w:val="0"/>
          <w:color w:val="auto"/>
          <w:sz w:val="21"/>
          <w:szCs w:val="21"/>
          <w:highlight w:val="none"/>
        </w:rPr>
        <w:t>。</w:t>
      </w:r>
    </w:p>
    <w:p w14:paraId="304D27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4.3、中标人在实施维护工程所进行的各项工作必须服从采购人现场代表的统一管理。</w:t>
      </w:r>
    </w:p>
    <w:p w14:paraId="342D6B1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4.4、中标人必须做好施工的安全保障措施，服从现场交通及城市管理人员的指挥，确保交通畅顺，做好现场安全警示标志，确保过往行人及车辆的安全。</w:t>
      </w:r>
    </w:p>
    <w:p w14:paraId="10F851F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4.5、中标人组织安装人员文明施工，保证维护过</w:t>
      </w:r>
      <w:r>
        <w:rPr>
          <w:rFonts w:hint="eastAsia" w:ascii="宋体" w:hAnsi="宋体" w:eastAsia="宋体" w:cs="宋体"/>
          <w:color w:val="auto"/>
          <w:sz w:val="21"/>
          <w:highlight w:val="none"/>
          <w:lang w:eastAsia="zh-CN"/>
        </w:rPr>
        <w:t>程中</w:t>
      </w:r>
      <w:r>
        <w:rPr>
          <w:rFonts w:hint="eastAsia" w:ascii="宋体" w:hAnsi="宋体" w:eastAsia="宋体" w:cs="宋体"/>
          <w:color w:val="auto"/>
          <w:sz w:val="21"/>
          <w:highlight w:val="none"/>
        </w:rPr>
        <w:t>的人员安全，并严格遵守市政、环卫、绿化、城管、治安、交通、水、电等部门的规定，办理相关的审批手续及承担责任和费用。在维护过程中维护人员产生的纠纷由中标人自行负责解决，涉及相关费用由中标人负责。</w:t>
      </w:r>
    </w:p>
    <w:p w14:paraId="373BFDE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4.6、中标人必须做到文明施工，要有足够的降尘除尘措施，若有围挡，要有文明标语，维护过程中产生的淤泥垃圾等</w:t>
      </w:r>
      <w:r>
        <w:rPr>
          <w:rFonts w:hint="eastAsia" w:ascii="宋体" w:hAnsi="宋体" w:eastAsia="宋体" w:cs="宋体"/>
          <w:color w:val="auto"/>
          <w:sz w:val="21"/>
          <w:highlight w:val="none"/>
          <w:lang w:eastAsia="zh-CN"/>
        </w:rPr>
        <w:t>及时</w:t>
      </w:r>
      <w:r>
        <w:rPr>
          <w:rFonts w:hint="eastAsia" w:ascii="宋体" w:hAnsi="宋体" w:eastAsia="宋体" w:cs="宋体"/>
          <w:color w:val="auto"/>
          <w:sz w:val="21"/>
          <w:highlight w:val="none"/>
        </w:rPr>
        <w:t>清理，不能污染路面。</w:t>
      </w:r>
    </w:p>
    <w:p w14:paraId="64EE48A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5、验收：</w:t>
      </w:r>
    </w:p>
    <w:p w14:paraId="19EBC4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5.1、根据采购人给出项目日常维护的验收方案，包括验收项目、验收标准，验收实施办法等进行验收。</w:t>
      </w:r>
    </w:p>
    <w:p w14:paraId="281110A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5.2、有关设施维护修复后的验收工作由采购人、中标人及相关单位人员</w:t>
      </w:r>
      <w:r>
        <w:rPr>
          <w:rFonts w:hint="eastAsia" w:ascii="宋体" w:hAnsi="宋体" w:eastAsia="宋体" w:cs="宋体"/>
          <w:color w:val="auto"/>
          <w:sz w:val="21"/>
          <w:highlight w:val="none"/>
          <w:lang w:eastAsia="zh-CN"/>
        </w:rPr>
        <w:t>依据</w:t>
      </w:r>
      <w:r>
        <w:rPr>
          <w:rFonts w:hint="eastAsia" w:ascii="宋体" w:hAnsi="宋体" w:eastAsia="宋体" w:cs="宋体"/>
          <w:color w:val="auto"/>
          <w:sz w:val="21"/>
          <w:highlight w:val="none"/>
        </w:rPr>
        <w:t>国家有关标准、合同及有关附件要求执行。</w:t>
      </w:r>
    </w:p>
    <w:p w14:paraId="2D52526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6、服务要求：</w:t>
      </w:r>
    </w:p>
    <w:p w14:paraId="05E0CC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6.1、日常维护</w:t>
      </w:r>
    </w:p>
    <w:p w14:paraId="13F3A01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6.1.1、中标人</w:t>
      </w:r>
      <w:r>
        <w:rPr>
          <w:rFonts w:hint="eastAsia" w:ascii="宋体" w:hAnsi="宋体" w:eastAsia="宋体" w:cs="宋体"/>
          <w:color w:val="auto"/>
          <w:sz w:val="21"/>
          <w:highlight w:val="none"/>
          <w:lang w:eastAsia="zh-CN"/>
        </w:rPr>
        <w:t>接到</w:t>
      </w:r>
      <w:r>
        <w:rPr>
          <w:rFonts w:hint="eastAsia" w:ascii="宋体" w:hAnsi="宋体" w:eastAsia="宋体" w:cs="宋体"/>
          <w:color w:val="auto"/>
          <w:sz w:val="21"/>
          <w:highlight w:val="none"/>
        </w:rPr>
        <w:t>采购人通知后需在30分钟内到达现场，立即做好安全维护等安全措施，如由于中标人没有及时采取安全围蔽防护等安全措施，导致发生交通事故等安全事故的一切责任由中标人承担。</w:t>
      </w:r>
    </w:p>
    <w:p w14:paraId="3F1D076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6.1.2、遇到特殊天气（如台风、强降雨等）需加强巡查，并需安排</w:t>
      </w:r>
      <w:r>
        <w:rPr>
          <w:rFonts w:hint="eastAsia" w:ascii="宋体" w:hAnsi="宋体" w:cs="宋体"/>
          <w:color w:val="auto"/>
          <w:sz w:val="21"/>
          <w:highlight w:val="none"/>
          <w:lang w:val="en-US" w:eastAsia="zh-CN"/>
        </w:rPr>
        <w:t>20</w:t>
      </w:r>
      <w:r>
        <w:rPr>
          <w:rFonts w:hint="eastAsia" w:ascii="宋体" w:hAnsi="宋体" w:eastAsia="宋体" w:cs="宋体"/>
          <w:color w:val="auto"/>
          <w:sz w:val="21"/>
          <w:highlight w:val="none"/>
        </w:rPr>
        <w:t>人或以上的应急抢险、防汛队伍及机械设备值班待命，在节假日需安排10人</w:t>
      </w:r>
      <w:r>
        <w:rPr>
          <w:rFonts w:hint="eastAsia" w:ascii="宋体" w:hAnsi="宋体" w:eastAsia="宋体" w:cs="宋体"/>
          <w:color w:val="auto"/>
          <w:sz w:val="21"/>
          <w:highlight w:val="none"/>
          <w:lang w:val="en-US" w:eastAsia="zh-CN"/>
        </w:rPr>
        <w:t>或</w:t>
      </w:r>
      <w:r>
        <w:rPr>
          <w:rFonts w:hint="eastAsia" w:ascii="宋体" w:hAnsi="宋体" w:eastAsia="宋体" w:cs="宋体"/>
          <w:color w:val="auto"/>
          <w:sz w:val="21"/>
          <w:highlight w:val="none"/>
        </w:rPr>
        <w:t>以上</w:t>
      </w:r>
      <w:r>
        <w:rPr>
          <w:rFonts w:hint="eastAsia" w:ascii="宋体" w:hAnsi="宋体" w:eastAsia="宋体" w:cs="宋体"/>
          <w:color w:val="auto"/>
          <w:sz w:val="21"/>
          <w:highlight w:val="none"/>
          <w:lang w:val="en-US" w:eastAsia="zh-CN"/>
        </w:rPr>
        <w:t>现场</w:t>
      </w:r>
      <w:r>
        <w:rPr>
          <w:rFonts w:hint="eastAsia" w:ascii="宋体" w:hAnsi="宋体" w:eastAsia="宋体" w:cs="宋体"/>
          <w:color w:val="auto"/>
          <w:sz w:val="21"/>
          <w:highlight w:val="none"/>
        </w:rPr>
        <w:t>人员</w:t>
      </w:r>
      <w:r>
        <w:rPr>
          <w:rFonts w:hint="eastAsia" w:ascii="宋体" w:hAnsi="宋体" w:eastAsia="宋体" w:cs="宋体"/>
          <w:color w:val="auto"/>
          <w:sz w:val="21"/>
          <w:highlight w:val="none"/>
          <w:lang w:val="en-US" w:eastAsia="zh-CN"/>
        </w:rPr>
        <w:t>以及1名以上管理人员</w:t>
      </w:r>
      <w:r>
        <w:rPr>
          <w:rFonts w:hint="eastAsia" w:ascii="宋体" w:hAnsi="宋体" w:eastAsia="宋体" w:cs="宋体"/>
          <w:color w:val="auto"/>
          <w:sz w:val="21"/>
          <w:highlight w:val="none"/>
        </w:rPr>
        <w:t>值班待命。</w:t>
      </w:r>
    </w:p>
    <w:p w14:paraId="2CCEBB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6.1.3、如遇上级市政设施检查或采购人开展相关行动，中标人要无条件配合采购人的工作。</w:t>
      </w:r>
    </w:p>
    <w:p w14:paraId="4064B3B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highlight w:val="none"/>
        </w:rPr>
        <w:t>6.2、</w:t>
      </w:r>
      <w:r>
        <w:rPr>
          <w:rFonts w:hint="eastAsia" w:ascii="宋体" w:hAnsi="宋体" w:eastAsia="宋体" w:cs="宋体"/>
          <w:color w:val="auto"/>
          <w:sz w:val="21"/>
          <w:szCs w:val="21"/>
          <w:highlight w:val="none"/>
        </w:rPr>
        <w:t>道路维护管理包括：道路的路基、路面、人行道、</w:t>
      </w:r>
      <w:r>
        <w:rPr>
          <w:rFonts w:hint="eastAsia" w:ascii="宋体" w:hAnsi="宋体" w:eastAsia="宋体" w:cs="宋体"/>
          <w:color w:val="auto"/>
          <w:sz w:val="21"/>
          <w:szCs w:val="21"/>
          <w:highlight w:val="none"/>
          <w:lang w:val="en-US" w:eastAsia="zh-CN"/>
        </w:rPr>
        <w:t>路沿石</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无障碍设施、</w:t>
      </w:r>
      <w:r>
        <w:rPr>
          <w:rFonts w:hint="eastAsia" w:hAnsi="宋体" w:cs="宋体"/>
          <w:color w:val="auto"/>
          <w:sz w:val="21"/>
          <w:szCs w:val="21"/>
          <w:highlight w:val="none"/>
          <w:lang w:val="en-US" w:eastAsia="zh-CN"/>
        </w:rPr>
        <w:t>市政基础设施电线电路维护、</w:t>
      </w:r>
      <w:r>
        <w:rPr>
          <w:rFonts w:hint="eastAsia" w:ascii="宋体" w:hAnsi="宋体" w:eastAsia="宋体" w:cs="宋体"/>
          <w:color w:val="auto"/>
          <w:sz w:val="21"/>
          <w:szCs w:val="21"/>
          <w:highlight w:val="none"/>
        </w:rPr>
        <w:t>交通设施的维护和破损修复等。</w:t>
      </w:r>
    </w:p>
    <w:p w14:paraId="2114F7F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6.2.1、按照国家及地方有关市政管理规范，确保道路保持完好状态，各设施维护水平等级应达到“合格”; 道路维护要经常保持道路各部位技术状况良好，加强预防性维护和小修保养，及时处理破损，提高道路设施的完好率。道路维护修理要做到快速优质，道路补修的形状应规则美观，维护作业场所必须设置安全标志，维护应文明施工即做到工完料净场地清。</w:t>
      </w:r>
    </w:p>
    <w:p w14:paraId="2E072B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6.2.2、</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val="en-US" w:eastAsia="zh-CN"/>
        </w:rPr>
        <w:t>不按</w:t>
      </w:r>
      <w:r>
        <w:rPr>
          <w:rFonts w:hint="eastAsia" w:ascii="宋体" w:hAnsi="宋体" w:eastAsia="宋体" w:cs="宋体"/>
          <w:color w:val="auto"/>
          <w:sz w:val="21"/>
          <w:szCs w:val="21"/>
          <w:highlight w:val="none"/>
        </w:rPr>
        <w:t>安全施工和文明施工要求，</w:t>
      </w:r>
      <w:r>
        <w:rPr>
          <w:rFonts w:hint="eastAsia" w:ascii="宋体" w:hAnsi="宋体" w:eastAsia="宋体" w:cs="宋体"/>
          <w:color w:val="auto"/>
          <w:sz w:val="21"/>
          <w:szCs w:val="21"/>
          <w:highlight w:val="none"/>
          <w:lang w:val="en-US" w:eastAsia="zh-CN"/>
        </w:rPr>
        <w:t>造成安全生产事故</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一切经济损失及安全责任由中标人承担。采购人有权按照《中华人民共和国安全生产法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《生产安全事故报告和调查处理条例》和《广东省建设厅建筑工程安全生产动态管理办法》</w:t>
      </w:r>
      <w:r>
        <w:rPr>
          <w:rFonts w:hint="eastAsia" w:ascii="宋体" w:hAnsi="宋体" w:eastAsia="宋体" w:cs="宋体"/>
          <w:color w:val="auto"/>
          <w:sz w:val="21"/>
          <w:szCs w:val="21"/>
          <w:highlight w:val="none"/>
          <w:lang w:val="en-US" w:eastAsia="zh-CN"/>
        </w:rPr>
        <w:t>等法律法规依法追究中标人责任</w:t>
      </w:r>
      <w:r>
        <w:rPr>
          <w:rFonts w:hint="eastAsia" w:ascii="宋体" w:hAnsi="宋体" w:eastAsia="宋体" w:cs="宋体"/>
          <w:color w:val="auto"/>
          <w:sz w:val="21"/>
          <w:szCs w:val="21"/>
          <w:highlight w:val="none"/>
        </w:rPr>
        <w:t>。</w:t>
      </w:r>
    </w:p>
    <w:p w14:paraId="6D209C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6.2.</w:t>
      </w: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rPr>
        <w:t>、维修工程量的确定：</w:t>
      </w:r>
    </w:p>
    <w:p w14:paraId="7208CF2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（1）抢修工程需在实施前电话通知采购人代表认可，</w:t>
      </w:r>
      <w:r>
        <w:rPr>
          <w:rFonts w:hint="eastAsia" w:ascii="宋体" w:hAnsi="宋体" w:eastAsia="宋体" w:cs="宋体"/>
          <w:color w:val="auto"/>
          <w:sz w:val="21"/>
          <w:szCs w:val="21"/>
          <w:highlight w:val="none"/>
        </w:rPr>
        <w:t>完成后进行现场计量和</w:t>
      </w:r>
      <w:r>
        <w:rPr>
          <w:rFonts w:hint="eastAsia" w:ascii="宋体" w:hAnsi="宋体" w:eastAsia="宋体" w:cs="宋体"/>
          <w:color w:val="auto"/>
          <w:sz w:val="21"/>
          <w:szCs w:val="21"/>
          <w:highlight w:val="none"/>
          <w:lang w:val="en-US" w:eastAsia="zh-CN"/>
        </w:rPr>
        <w:t>补办报价审批手续，</w:t>
      </w:r>
      <w:r>
        <w:rPr>
          <w:rFonts w:hint="eastAsia" w:ascii="宋体" w:hAnsi="宋体" w:eastAsia="宋体" w:cs="宋体"/>
          <w:color w:val="auto"/>
          <w:sz w:val="21"/>
          <w:highlight w:val="none"/>
        </w:rPr>
        <w:t>并在维修前后拍照存档和采购人代表确认签证。</w:t>
      </w:r>
    </w:p>
    <w:p w14:paraId="5FD83FC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（2）一般维修工程需在</w:t>
      </w:r>
      <w:r>
        <w:rPr>
          <w:rFonts w:hint="eastAsia" w:ascii="宋体" w:hAnsi="宋体" w:eastAsia="宋体" w:cs="宋体"/>
          <w:color w:val="auto"/>
          <w:sz w:val="21"/>
          <w:szCs w:val="21"/>
          <w:highlight w:val="none"/>
          <w:lang w:val="en-US" w:eastAsia="zh-CN"/>
        </w:rPr>
        <w:t>完成报价审批或</w:t>
      </w:r>
      <w:r>
        <w:rPr>
          <w:rFonts w:hint="eastAsia" w:ascii="宋体" w:hAnsi="宋体" w:eastAsia="宋体" w:cs="宋体"/>
          <w:color w:val="auto"/>
          <w:sz w:val="21"/>
          <w:highlight w:val="none"/>
        </w:rPr>
        <w:t>收到采购人维修通知书后方可进行施工，并在完成后进行现场计量和采购人代表确认，维修前后拍照存档。</w:t>
      </w:r>
    </w:p>
    <w:p w14:paraId="6C09BE4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6.2.</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rPr>
        <w:t>、中标人的工作人员作业时必须穿戴经统一标识的工作服、专业防护装备及工作证件，所有使用的机械设备必须在显眼地方印有公司标志标识和投诉电话。</w:t>
      </w:r>
    </w:p>
    <w:p w14:paraId="0749A43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w:t>
      </w:r>
      <w:r>
        <w:rPr>
          <w:rFonts w:hint="eastAsia" w:ascii="宋体" w:hAnsi="宋体" w:eastAsia="宋体" w:cs="宋体"/>
          <w:b/>
          <w:bCs/>
          <w:color w:val="auto"/>
          <w:sz w:val="21"/>
          <w:highlight w:val="none"/>
        </w:rPr>
        <w:t>6.2.</w:t>
      </w:r>
      <w:r>
        <w:rPr>
          <w:rFonts w:hint="eastAsia" w:ascii="宋体" w:hAnsi="宋体" w:cs="宋体"/>
          <w:b/>
          <w:bCs/>
          <w:color w:val="auto"/>
          <w:sz w:val="21"/>
          <w:highlight w:val="none"/>
          <w:lang w:val="en-US" w:eastAsia="zh-CN"/>
        </w:rPr>
        <w:t>5</w:t>
      </w:r>
      <w:r>
        <w:rPr>
          <w:rFonts w:hint="eastAsia" w:ascii="宋体" w:hAnsi="宋体" w:eastAsia="宋体" w:cs="宋体"/>
          <w:b/>
          <w:bCs/>
          <w:color w:val="auto"/>
          <w:sz w:val="21"/>
          <w:highlight w:val="none"/>
        </w:rPr>
        <w:t>、路面维护维修应保证原路面的结构标准，不得降低原结构强度。维护单位所维修的维护质量自验收合格起，保修期为一年。</w:t>
      </w:r>
    </w:p>
    <w:p w14:paraId="7881CF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6.2.</w:t>
      </w:r>
      <w:r>
        <w:rPr>
          <w:rFonts w:hint="eastAsia" w:ascii="宋体" w:hAnsi="宋体" w:cs="宋体"/>
          <w:color w:val="auto"/>
          <w:sz w:val="21"/>
          <w:highlight w:val="none"/>
          <w:lang w:val="en-US" w:eastAsia="zh-CN"/>
        </w:rPr>
        <w:t>6</w:t>
      </w:r>
      <w:r>
        <w:rPr>
          <w:rFonts w:hint="eastAsia" w:ascii="宋体" w:hAnsi="宋体" w:eastAsia="宋体" w:cs="宋体"/>
          <w:color w:val="auto"/>
          <w:sz w:val="21"/>
          <w:highlight w:val="none"/>
        </w:rPr>
        <w:t>、维护维修质量评定按照《市政工程质量检验评定标准》</w:t>
      </w:r>
      <w:r>
        <w:rPr>
          <w:rFonts w:hint="eastAsia" w:ascii="宋体" w:hAnsi="宋体" w:eastAsia="宋体" w:cs="宋体"/>
          <w:color w:val="auto"/>
          <w:sz w:val="21"/>
          <w:highlight w:val="none"/>
          <w:lang w:val="en-US" w:eastAsia="zh-CN"/>
        </w:rPr>
        <w:t>执行</w:t>
      </w:r>
      <w:r>
        <w:rPr>
          <w:rFonts w:hint="eastAsia" w:ascii="宋体" w:hAnsi="宋体" w:eastAsia="宋体" w:cs="宋体"/>
          <w:color w:val="auto"/>
          <w:sz w:val="21"/>
          <w:highlight w:val="none"/>
        </w:rPr>
        <w:t>。</w:t>
      </w:r>
    </w:p>
    <w:p w14:paraId="4F546C1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6.2.</w:t>
      </w:r>
      <w:r>
        <w:rPr>
          <w:rFonts w:hint="eastAsia" w:ascii="宋体" w:hAnsi="宋体" w:cs="宋体"/>
          <w:color w:val="auto"/>
          <w:sz w:val="21"/>
          <w:highlight w:val="none"/>
          <w:lang w:val="en-US" w:eastAsia="zh-CN"/>
        </w:rPr>
        <w:t>7</w:t>
      </w:r>
      <w:r>
        <w:rPr>
          <w:rFonts w:hint="eastAsia" w:ascii="宋体" w:hAnsi="宋体" w:eastAsia="宋体" w:cs="宋体"/>
          <w:color w:val="auto"/>
          <w:sz w:val="21"/>
          <w:highlight w:val="none"/>
        </w:rPr>
        <w:t>、不论维修项目的大小、位置，中标人收到采购人维修通知书后24小时内安排维修。若维修通知书另有约定的，则按其约定执行。否则，第一次违反口头警告；第二次违反书面警告；第三次违反终止维护合同，一切责任由中标人负责。</w:t>
      </w:r>
    </w:p>
    <w:p w14:paraId="1E149F2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6.2.</w:t>
      </w:r>
      <w:r>
        <w:rPr>
          <w:rFonts w:hint="eastAsia" w:ascii="宋体" w:hAnsi="宋体" w:cs="宋体"/>
          <w:color w:val="auto"/>
          <w:sz w:val="21"/>
          <w:highlight w:val="none"/>
          <w:lang w:val="en-US" w:eastAsia="zh-CN"/>
        </w:rPr>
        <w:t>8</w:t>
      </w:r>
      <w:r>
        <w:rPr>
          <w:rFonts w:hint="eastAsia" w:ascii="宋体" w:hAnsi="宋体" w:eastAsia="宋体" w:cs="宋体"/>
          <w:color w:val="auto"/>
          <w:sz w:val="21"/>
          <w:highlight w:val="none"/>
        </w:rPr>
        <w:t>、凡维修项目所产生的垃圾及废弃物须由中标人负责清运并妥善合法处理，所需费用由中标人承担。</w:t>
      </w:r>
    </w:p>
    <w:p w14:paraId="66B6B00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6.2.</w:t>
      </w:r>
      <w:r>
        <w:rPr>
          <w:rFonts w:hint="eastAsia" w:ascii="宋体" w:hAnsi="宋体" w:cs="宋体"/>
          <w:color w:val="auto"/>
          <w:sz w:val="21"/>
          <w:highlight w:val="none"/>
          <w:lang w:val="en-US" w:eastAsia="zh-CN"/>
        </w:rPr>
        <w:t>9</w:t>
      </w:r>
      <w:r>
        <w:rPr>
          <w:rFonts w:hint="eastAsia" w:ascii="宋体" w:hAnsi="宋体" w:eastAsia="宋体" w:cs="宋体"/>
          <w:color w:val="auto"/>
          <w:sz w:val="21"/>
          <w:highlight w:val="none"/>
        </w:rPr>
        <w:t>、维修项目所使用的混凝土为商品混凝土，所需费用包含在投标报价中。</w:t>
      </w:r>
    </w:p>
    <w:p w14:paraId="1034ED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6.2.1</w:t>
      </w:r>
      <w:r>
        <w:rPr>
          <w:rFonts w:hint="eastAsia" w:ascii="宋体" w:hAnsi="宋体" w:cs="宋体"/>
          <w:color w:val="auto"/>
          <w:sz w:val="21"/>
          <w:highlight w:val="none"/>
          <w:lang w:val="en-US" w:eastAsia="zh-CN"/>
        </w:rPr>
        <w:t>0</w:t>
      </w:r>
      <w:r>
        <w:rPr>
          <w:rFonts w:hint="eastAsia" w:ascii="宋体" w:hAnsi="宋体" w:eastAsia="宋体" w:cs="宋体"/>
          <w:color w:val="auto"/>
          <w:sz w:val="21"/>
          <w:highlight w:val="none"/>
        </w:rPr>
        <w:t>、中标人不得未经采购人同意或以采购人未及时支付工程款为由，擅自拖延或拒绝提供维护服务，否则由此产生的一切后果和责任由中标人负责。</w:t>
      </w:r>
    </w:p>
    <w:p w14:paraId="65A6716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7、工程质量标准：</w:t>
      </w:r>
    </w:p>
    <w:p w14:paraId="31B903B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7.1、中标人严格按照《市政工程质量检验评定标准》要求施工，接受采购人的监督。</w:t>
      </w:r>
    </w:p>
    <w:p w14:paraId="15ADB50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7.2、本项目各项工程的工程质量等级要求均须达到合格工程标准（包括资料整理）。中标人在施工中如果工程质量不符合要求的，经评定工程质量不合格，采购人可以要求停工和返工，中标人必须立即执行，并承担由此产生的各种费用。</w:t>
      </w:r>
    </w:p>
    <w:p w14:paraId="6DDB43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7.3、竣工验收必须达到合格工程。</w:t>
      </w:r>
    </w:p>
    <w:p w14:paraId="6621B5C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8、材料要求：</w:t>
      </w:r>
    </w:p>
    <w:p w14:paraId="151776D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8.1、本项目各维护工程所用之材料，由中标人自行采购。</w:t>
      </w:r>
    </w:p>
    <w:p w14:paraId="62C008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8.2、本项目各维护工程使用的主要材料需提供合格证至采购人。</w:t>
      </w:r>
    </w:p>
    <w:p w14:paraId="62910B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9、罚则：</w:t>
      </w:r>
    </w:p>
    <w:p w14:paraId="041097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9.1、因中标人责任达不到合同所规定质量要求的，作不良行为记录。</w:t>
      </w:r>
    </w:p>
    <w:p w14:paraId="31185A9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9.2、对无视安全施工和文明施工要求，对采购人所</w:t>
      </w:r>
      <w:r>
        <w:rPr>
          <w:rFonts w:hint="eastAsia" w:ascii="宋体" w:hAnsi="宋体" w:eastAsia="宋体" w:cs="宋体"/>
          <w:color w:val="auto"/>
          <w:sz w:val="21"/>
          <w:highlight w:val="none"/>
          <w:lang w:eastAsia="zh-CN"/>
        </w:rPr>
        <w:t>提出</w:t>
      </w:r>
      <w:r>
        <w:rPr>
          <w:rFonts w:hint="eastAsia" w:ascii="宋体" w:hAnsi="宋体" w:eastAsia="宋体" w:cs="宋体"/>
          <w:color w:val="auto"/>
          <w:sz w:val="21"/>
          <w:highlight w:val="none"/>
        </w:rPr>
        <w:t>的整改意见不见成效，按《生产安全事故报告和调查处理条例》和《广东省建设厅建筑工程安全生产动态管理办法》处罚。</w:t>
      </w:r>
    </w:p>
    <w:p w14:paraId="4E6ABBD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9.3、本项目中标后不得转包，否则作违约处理，视情节追究企业法人责任，并承担相应的商务损失。同时中标人拟派进场施工管理人员必须与投标文件中的人员相符，如有变更，须按最新规定执行。</w:t>
      </w:r>
    </w:p>
    <w:p w14:paraId="2772199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10、技术资料：中标人应于每月养护项目结束后向采购人提供技术文档（如工程巡查记录、工程维修申报资料、工程维护资料、工程验收资料、工程竣工资料、工程结算资料等）。</w:t>
      </w:r>
    </w:p>
    <w:p w14:paraId="61D6F4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sz w:val="21"/>
          <w:highlight w:val="none"/>
        </w:rPr>
      </w:pPr>
      <w:r>
        <w:rPr>
          <w:rFonts w:hint="eastAsia" w:ascii="宋体" w:hAnsi="宋体" w:eastAsia="宋体" w:cs="宋体"/>
          <w:b/>
          <w:color w:val="auto"/>
          <w:sz w:val="21"/>
          <w:highlight w:val="none"/>
        </w:rPr>
        <w:t>★</w:t>
      </w:r>
      <w:r>
        <w:rPr>
          <w:rFonts w:hint="eastAsia" w:ascii="宋体" w:hAnsi="宋体" w:eastAsia="宋体" w:cs="宋体"/>
          <w:b/>
          <w:bCs/>
          <w:color w:val="auto"/>
          <w:sz w:val="21"/>
          <w:highlight w:val="none"/>
        </w:rPr>
        <w:t>11、质量保修期：市政设施维护管养部分属于市政工程类，在正常使用情况下，从维护工程实际竣工并经验收合格之日算起，质量保修期为一年。（投标时在相关响应表中作出响应或提供承诺书并加盖公章视为满足采购需求。）</w:t>
      </w:r>
    </w:p>
    <w:p w14:paraId="57AC95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sz w:val="21"/>
          <w:highlight w:val="none"/>
        </w:rPr>
      </w:pPr>
      <w:r>
        <w:rPr>
          <w:rFonts w:hint="eastAsia" w:ascii="宋体" w:hAnsi="宋体" w:eastAsia="宋体" w:cs="宋体"/>
          <w:b/>
          <w:bCs/>
          <w:color w:val="auto"/>
          <w:sz w:val="21"/>
          <w:highlight w:val="none"/>
        </w:rPr>
        <w:t>民众街道辖区内市政范围内果皮箱（约2000个）的垃圾收集、清洗、维护、规范摆放。</w:t>
      </w:r>
    </w:p>
    <w:p w14:paraId="3FDC396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eastAsia="宋体" w:cs="宋体"/>
          <w:b/>
          <w:bCs/>
          <w:color w:val="auto"/>
          <w:sz w:val="21"/>
          <w:highlight w:val="none"/>
          <w:lang w:val="en-US" w:eastAsia="zh-CN"/>
        </w:rPr>
      </w:pPr>
      <w:r>
        <w:rPr>
          <w:rFonts w:hint="eastAsia" w:ascii="宋体" w:hAnsi="宋体" w:eastAsia="宋体" w:cs="宋体"/>
          <w:b/>
          <w:color w:val="auto"/>
          <w:sz w:val="21"/>
          <w:highlight w:val="none"/>
        </w:rPr>
        <w:t>★</w:t>
      </w:r>
      <w:r>
        <w:rPr>
          <w:rFonts w:hint="eastAsia" w:ascii="宋体" w:hAnsi="宋体" w:cs="宋体"/>
          <w:b/>
          <w:bCs/>
          <w:color w:val="auto"/>
          <w:sz w:val="21"/>
          <w:highlight w:val="none"/>
          <w:lang w:val="en-US" w:eastAsia="zh-CN"/>
        </w:rPr>
        <w:t>12、</w:t>
      </w:r>
      <w:r>
        <w:rPr>
          <w:rFonts w:hint="eastAsia" w:ascii="宋体" w:hAnsi="宋体" w:eastAsia="宋体" w:cs="宋体"/>
          <w:b/>
          <w:bCs/>
          <w:color w:val="auto"/>
          <w:sz w:val="21"/>
          <w:highlight w:val="none"/>
        </w:rPr>
        <w:t>中标供应商必须组织专业团队在</w:t>
      </w:r>
      <w:r>
        <w:rPr>
          <w:rFonts w:hint="eastAsia" w:ascii="宋体" w:hAnsi="宋体" w:cs="宋体"/>
          <w:b/>
          <w:bCs/>
          <w:color w:val="auto"/>
          <w:sz w:val="21"/>
          <w:highlight w:val="none"/>
          <w:lang w:val="en-US" w:eastAsia="zh-CN"/>
        </w:rPr>
        <w:t>20</w:t>
      </w:r>
      <w:r>
        <w:rPr>
          <w:rFonts w:hint="eastAsia" w:ascii="宋体" w:hAnsi="宋体" w:eastAsia="宋体" w:cs="宋体"/>
          <w:b/>
          <w:bCs/>
          <w:color w:val="auto"/>
          <w:sz w:val="21"/>
          <w:highlight w:val="none"/>
        </w:rPr>
        <w:t>27年2月前完成69座桥梁病害修复。</w:t>
      </w:r>
      <w:r>
        <w:rPr>
          <w:rFonts w:hint="eastAsia" w:ascii="宋体" w:hAnsi="宋体" w:cs="宋体"/>
          <w:b/>
          <w:bCs/>
          <w:color w:val="auto"/>
          <w:sz w:val="21"/>
          <w:highlight w:val="none"/>
          <w:lang w:val="en-US" w:eastAsia="zh-CN"/>
        </w:rPr>
        <w:t>桥梁统计详见附件5：民众街道69座桥病害汇总。（投标时在相关响应表中作出响应或提供承诺书并加盖公章视为满足采购需求。）</w:t>
      </w:r>
    </w:p>
    <w:p w14:paraId="70A7986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rPr>
        <w:t>、考核办法：</w:t>
      </w:r>
    </w:p>
    <w:p w14:paraId="3F7273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rPr>
        <w:t>.1、为保证市政设施维护管养工作开展过程的监督到位，保障市政设施日常养护质量，采购人将实行不定期、不定人、不定路段和不定次数的监督检查。</w:t>
      </w:r>
    </w:p>
    <w:p w14:paraId="3EE6F07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rPr>
        <w:t>.2、月度检查将与日常检查工作相结合，即经采购人检查发现或被投诉、被媒体曝光并经核实中标人存在不按规定开展相关养护工作的，则对中标人进行相应处罚。</w:t>
      </w:r>
    </w:p>
    <w:p w14:paraId="604F41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rPr>
        <w:t>.3、根据月度检查情况对中标人进行相应扣罚。当月考评分低于80分的评为不合格，中标人若连续3个月的考评不合格，将被视为未能按照约定要求提供维护管养服务，采购人有权单方解除本合同。</w:t>
      </w:r>
    </w:p>
    <w:p w14:paraId="02B9CD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rPr>
        <w:t>.4、月度检查扣罚标准及评分标准详见附件1：市政设施维护管养服务扣罚和评分标准。</w:t>
      </w:r>
    </w:p>
    <w:p w14:paraId="5E5A822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1</w:t>
      </w:r>
      <w:r>
        <w:rPr>
          <w:rFonts w:hint="eastAsia" w:ascii="宋体" w:hAnsi="宋体" w:cs="宋体"/>
          <w:b/>
          <w:color w:val="auto"/>
          <w:sz w:val="21"/>
          <w:highlight w:val="none"/>
          <w:lang w:val="en-US" w:eastAsia="zh-CN"/>
        </w:rPr>
        <w:t>4</w:t>
      </w:r>
      <w:r>
        <w:rPr>
          <w:rFonts w:hint="eastAsia" w:ascii="宋体" w:hAnsi="宋体" w:eastAsia="宋体" w:cs="宋体"/>
          <w:b/>
          <w:color w:val="auto"/>
          <w:sz w:val="21"/>
          <w:highlight w:val="none"/>
        </w:rPr>
        <w:t>、其他要求：</w:t>
      </w:r>
    </w:p>
    <w:p w14:paraId="4EA63ED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lang w:eastAsia="zh-CN"/>
        </w:rPr>
      </w:pPr>
      <w:r>
        <w:rPr>
          <w:rFonts w:hint="eastAsia" w:ascii="宋体" w:hAnsi="宋体" w:eastAsia="宋体" w:cs="宋体"/>
          <w:b/>
          <w:color w:val="auto"/>
          <w:sz w:val="21"/>
          <w:highlight w:val="none"/>
        </w:rPr>
        <w:t>★1</w:t>
      </w:r>
      <w:r>
        <w:rPr>
          <w:rFonts w:hint="eastAsia" w:ascii="宋体" w:hAnsi="宋体" w:cs="宋体"/>
          <w:b/>
          <w:color w:val="auto"/>
          <w:sz w:val="21"/>
          <w:highlight w:val="none"/>
          <w:lang w:val="en-US" w:eastAsia="zh-CN"/>
        </w:rPr>
        <w:t>4</w:t>
      </w:r>
      <w:r>
        <w:rPr>
          <w:rFonts w:hint="eastAsia" w:ascii="宋体" w:hAnsi="宋体" w:eastAsia="宋体" w:cs="宋体"/>
          <w:b/>
          <w:color w:val="auto"/>
          <w:sz w:val="21"/>
          <w:highlight w:val="none"/>
        </w:rPr>
        <w:t>.1、投标人须承诺中标后按要求做好日常巡查，发现路面坑洼、井盖损坏等危险因素及时处理，采购人通知中标人的维修点，中标人必须在30分钟内到达现场并在1小时内排除现场险情，如不能及时修复，必须做好安全维护工作，并在承诺的时间内完成修复（因巡查不力或修复不及时造成的社会车辆损坏、人员伤亡，一切后果由中标人负责）。中标人超出规定时间按违约金2000元/次处罚，违约金总额不超过本项目预算金额的10%；没有按时完工，累计</w:t>
      </w:r>
      <w:r>
        <w:rPr>
          <w:rFonts w:hint="eastAsia" w:ascii="宋体" w:hAnsi="宋体" w:eastAsia="宋体" w:cs="宋体"/>
          <w:b/>
          <w:color w:val="auto"/>
          <w:sz w:val="21"/>
          <w:highlight w:val="none"/>
          <w:lang w:val="en-US" w:eastAsia="zh-CN"/>
        </w:rPr>
        <w:t>处罚达到</w:t>
      </w:r>
      <w:r>
        <w:rPr>
          <w:rFonts w:hint="eastAsia" w:ascii="宋体" w:hAnsi="宋体" w:eastAsia="宋体" w:cs="宋体"/>
          <w:b/>
          <w:color w:val="auto"/>
          <w:sz w:val="21"/>
          <w:highlight w:val="none"/>
        </w:rPr>
        <w:t>三次的，采购人有权单方面解除合同，并追究中标人的经济责任。</w:t>
      </w:r>
      <w:r>
        <w:rPr>
          <w:rFonts w:hint="eastAsia" w:ascii="宋体" w:hAnsi="宋体" w:cs="宋体"/>
          <w:b/>
          <w:color w:val="auto"/>
          <w:sz w:val="21"/>
          <w:highlight w:val="none"/>
          <w:lang w:eastAsia="zh-CN"/>
        </w:rPr>
        <w:t>（投标时在相关响应表中作出响应或提供承诺书并加盖公章视为满足采购需求。）</w:t>
      </w:r>
    </w:p>
    <w:p w14:paraId="19A0F0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lang w:eastAsia="zh-CN"/>
        </w:rPr>
      </w:pPr>
      <w:r>
        <w:rPr>
          <w:rFonts w:hint="eastAsia" w:ascii="宋体" w:hAnsi="宋体" w:eastAsia="宋体" w:cs="宋体"/>
          <w:b/>
          <w:color w:val="auto"/>
          <w:sz w:val="21"/>
          <w:highlight w:val="none"/>
        </w:rPr>
        <w:t>★1</w:t>
      </w:r>
      <w:r>
        <w:rPr>
          <w:rFonts w:hint="eastAsia" w:ascii="宋体" w:hAnsi="宋体" w:cs="宋体"/>
          <w:b/>
          <w:color w:val="auto"/>
          <w:sz w:val="21"/>
          <w:highlight w:val="none"/>
          <w:lang w:val="en-US" w:eastAsia="zh-CN"/>
        </w:rPr>
        <w:t>4</w:t>
      </w:r>
      <w:r>
        <w:rPr>
          <w:rFonts w:hint="eastAsia" w:ascii="宋体" w:hAnsi="宋体" w:eastAsia="宋体" w:cs="宋体"/>
          <w:b/>
          <w:color w:val="auto"/>
          <w:sz w:val="21"/>
          <w:highlight w:val="none"/>
        </w:rPr>
        <w:t>.2、投标人须承诺若中标，接采购人通知到达维修点现场后，30分钟内设置相应的警示标识和交通疏导设施，排除道路交通隐患，恢复交通正常运行。若未按时排除道路交通隐患（</w:t>
      </w:r>
      <w:r>
        <w:rPr>
          <w:rFonts w:hint="eastAsia" w:ascii="宋体" w:hAnsi="宋体" w:eastAsia="宋体" w:cs="宋体"/>
          <w:b/>
          <w:color w:val="auto"/>
          <w:sz w:val="21"/>
          <w:highlight w:val="none"/>
          <w:lang w:eastAsia="zh-CN"/>
        </w:rPr>
        <w:t>期间</w:t>
      </w:r>
      <w:r>
        <w:rPr>
          <w:rFonts w:hint="eastAsia" w:ascii="宋体" w:hAnsi="宋体" w:eastAsia="宋体" w:cs="宋体"/>
          <w:b/>
          <w:color w:val="auto"/>
          <w:sz w:val="21"/>
          <w:highlight w:val="none"/>
        </w:rPr>
        <w:t>造成社会车辆损坏、人员伤亡，一切后果由中标人负责），按违约金3000元/次处罚</w:t>
      </w:r>
      <w:r>
        <w:rPr>
          <w:rFonts w:hint="eastAsia" w:ascii="宋体" w:hAnsi="宋体" w:eastAsia="宋体" w:cs="宋体"/>
          <w:b/>
          <w:color w:val="auto"/>
          <w:sz w:val="21"/>
          <w:highlight w:val="none"/>
          <w:lang w:eastAsia="zh-CN"/>
        </w:rPr>
        <w:t>，</w:t>
      </w:r>
      <w:r>
        <w:rPr>
          <w:rFonts w:hint="eastAsia" w:ascii="宋体" w:hAnsi="宋体" w:eastAsia="宋体" w:cs="宋体"/>
          <w:b/>
          <w:color w:val="auto"/>
          <w:sz w:val="21"/>
          <w:highlight w:val="none"/>
        </w:rPr>
        <w:t>违约金总额不超过本项目预算金额的10%；没有按时完工，累计</w:t>
      </w:r>
      <w:r>
        <w:rPr>
          <w:rFonts w:hint="eastAsia" w:ascii="宋体" w:hAnsi="宋体" w:eastAsia="宋体" w:cs="宋体"/>
          <w:b/>
          <w:color w:val="auto"/>
          <w:sz w:val="21"/>
          <w:highlight w:val="none"/>
          <w:lang w:val="en-US" w:eastAsia="zh-CN"/>
        </w:rPr>
        <w:t>处罚达到</w:t>
      </w:r>
      <w:r>
        <w:rPr>
          <w:rFonts w:hint="eastAsia" w:ascii="宋体" w:hAnsi="宋体" w:eastAsia="宋体" w:cs="宋体"/>
          <w:b/>
          <w:color w:val="auto"/>
          <w:sz w:val="21"/>
          <w:highlight w:val="none"/>
        </w:rPr>
        <w:t>三次的，采购人有权单方面解除合同，并追究中标人的经济责任。</w:t>
      </w:r>
      <w:r>
        <w:rPr>
          <w:rFonts w:hint="eastAsia" w:ascii="宋体" w:hAnsi="宋体" w:cs="宋体"/>
          <w:b/>
          <w:color w:val="auto"/>
          <w:sz w:val="21"/>
          <w:highlight w:val="none"/>
          <w:lang w:eastAsia="zh-CN"/>
        </w:rPr>
        <w:t>（投标时在相关响应表中作出响应或提供承诺书并加盖公章视为满足采购需求。）</w:t>
      </w:r>
    </w:p>
    <w:p w14:paraId="6816EA0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color w:val="auto"/>
          <w:sz w:val="21"/>
          <w:highlight w:val="none"/>
          <w:lang w:eastAsia="zh-CN"/>
        </w:rPr>
      </w:pPr>
      <w:r>
        <w:rPr>
          <w:rFonts w:hint="eastAsia" w:ascii="宋体" w:hAnsi="宋体" w:eastAsia="宋体" w:cs="宋体"/>
          <w:b/>
          <w:color w:val="auto"/>
          <w:sz w:val="21"/>
          <w:highlight w:val="none"/>
        </w:rPr>
        <w:t>★1</w:t>
      </w:r>
      <w:r>
        <w:rPr>
          <w:rFonts w:hint="eastAsia" w:ascii="宋体" w:hAnsi="宋体" w:cs="宋体"/>
          <w:b/>
          <w:color w:val="auto"/>
          <w:sz w:val="21"/>
          <w:highlight w:val="none"/>
          <w:lang w:val="en-US" w:eastAsia="zh-CN"/>
        </w:rPr>
        <w:t>4</w:t>
      </w:r>
      <w:r>
        <w:rPr>
          <w:rFonts w:hint="eastAsia" w:ascii="宋体" w:hAnsi="宋体" w:eastAsia="宋体" w:cs="宋体"/>
          <w:b/>
          <w:color w:val="auto"/>
          <w:sz w:val="21"/>
          <w:highlight w:val="none"/>
        </w:rPr>
        <w:t>.3、投标人须承诺中标后每天巡查区属道路不少于80公里，每2-3天须完成全区属道路的巡查并向采购人提供巡查记录（包括GPS巡查轨迹、现场彩色图片）。若未按要求进行巡查或提供巡查记录的，按违约金5000元/次处罚</w:t>
      </w:r>
      <w:r>
        <w:rPr>
          <w:rFonts w:hint="eastAsia" w:ascii="宋体" w:hAnsi="宋体" w:eastAsia="宋体" w:cs="宋体"/>
          <w:b/>
          <w:color w:val="auto"/>
          <w:sz w:val="21"/>
          <w:highlight w:val="none"/>
          <w:lang w:eastAsia="zh-CN"/>
        </w:rPr>
        <w:t>，</w:t>
      </w:r>
      <w:r>
        <w:rPr>
          <w:rFonts w:hint="eastAsia" w:ascii="宋体" w:hAnsi="宋体" w:eastAsia="宋体" w:cs="宋体"/>
          <w:b/>
          <w:color w:val="auto"/>
          <w:sz w:val="21"/>
          <w:highlight w:val="none"/>
        </w:rPr>
        <w:t>违约金总额不超过本项目预算金额的10%；没有按时完工，累计</w:t>
      </w:r>
      <w:r>
        <w:rPr>
          <w:rFonts w:hint="eastAsia" w:ascii="宋体" w:hAnsi="宋体" w:eastAsia="宋体" w:cs="宋体"/>
          <w:b/>
          <w:color w:val="auto"/>
          <w:sz w:val="21"/>
          <w:highlight w:val="none"/>
          <w:lang w:val="en-US" w:eastAsia="zh-CN"/>
        </w:rPr>
        <w:t>处罚达到</w:t>
      </w:r>
      <w:r>
        <w:rPr>
          <w:rFonts w:hint="eastAsia" w:ascii="宋体" w:hAnsi="宋体" w:eastAsia="宋体" w:cs="宋体"/>
          <w:b/>
          <w:color w:val="auto"/>
          <w:sz w:val="21"/>
          <w:highlight w:val="none"/>
        </w:rPr>
        <w:t>三次的，采购人有权单方面解除合同，并追究中标人的经济责任。</w:t>
      </w:r>
      <w:r>
        <w:rPr>
          <w:rFonts w:hint="eastAsia" w:ascii="宋体" w:hAnsi="宋体" w:cs="宋体"/>
          <w:b/>
          <w:color w:val="auto"/>
          <w:sz w:val="21"/>
          <w:highlight w:val="none"/>
          <w:lang w:eastAsia="zh-CN"/>
        </w:rPr>
        <w:t>（投标时在相关响应表中作出响应或提供承诺书并加盖公章视为满足采购需求。）</w:t>
      </w:r>
    </w:p>
    <w:p w14:paraId="56DF01F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lang w:val="en-US" w:eastAsia="zh-CN"/>
        </w:rPr>
        <w:t>五</w:t>
      </w:r>
      <w:r>
        <w:rPr>
          <w:rFonts w:hint="eastAsia" w:ascii="宋体" w:hAnsi="宋体" w:eastAsia="宋体" w:cs="宋体"/>
          <w:b/>
          <w:color w:val="auto"/>
          <w:sz w:val="21"/>
          <w:highlight w:val="none"/>
        </w:rPr>
        <w:t>、市政</w:t>
      </w:r>
      <w:r>
        <w:rPr>
          <w:rFonts w:hint="eastAsia" w:ascii="宋体" w:hAnsi="宋体" w:eastAsia="宋体" w:cs="宋体"/>
          <w:b/>
          <w:color w:val="auto"/>
          <w:sz w:val="21"/>
          <w:highlight w:val="none"/>
          <w:lang w:val="en-US" w:eastAsia="zh-CN"/>
        </w:rPr>
        <w:t>电路</w:t>
      </w:r>
      <w:r>
        <w:rPr>
          <w:rFonts w:hint="eastAsia" w:ascii="宋体" w:hAnsi="宋体" w:eastAsia="宋体" w:cs="宋体"/>
          <w:b/>
          <w:color w:val="auto"/>
          <w:sz w:val="21"/>
          <w:highlight w:val="none"/>
        </w:rPr>
        <w:t>变压器设施维护管养服务要求：</w:t>
      </w:r>
    </w:p>
    <w:p w14:paraId="051F2CE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1、服务内容：</w:t>
      </w:r>
    </w:p>
    <w:p w14:paraId="38DF40E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1.1、维护变压器数量及相关信息详见附件2：</w:t>
      </w:r>
      <w:r>
        <w:rPr>
          <w:rFonts w:hint="eastAsia" w:ascii="宋体" w:hAnsi="宋体" w:cs="宋体"/>
          <w:color w:val="auto"/>
          <w:sz w:val="21"/>
          <w:highlight w:val="none"/>
          <w:lang w:eastAsia="zh-CN"/>
        </w:rPr>
        <w:t>民众街道市政基础设施电线电路、变压器相关信息明细表</w:t>
      </w:r>
      <w:r>
        <w:rPr>
          <w:rFonts w:hint="eastAsia" w:ascii="宋体" w:hAnsi="宋体" w:eastAsia="宋体" w:cs="宋体"/>
          <w:color w:val="auto"/>
          <w:sz w:val="21"/>
          <w:highlight w:val="none"/>
        </w:rPr>
        <w:t>。采购人有权在合同履行过程中对本部分维护内容作出适当修改、调整，由此而导致维护设备数量增加的</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每年</w:t>
      </w:r>
      <w:r>
        <w:rPr>
          <w:rFonts w:hint="eastAsia" w:ascii="宋体" w:hAnsi="宋体" w:eastAsia="宋体" w:cs="宋体"/>
          <w:color w:val="auto"/>
          <w:sz w:val="21"/>
          <w:highlight w:val="none"/>
          <w:lang w:val="en-US" w:eastAsia="zh-CN"/>
        </w:rPr>
        <w:t>或年均</w:t>
      </w:r>
      <w:r>
        <w:rPr>
          <w:rFonts w:hint="eastAsia" w:ascii="宋体" w:hAnsi="宋体" w:eastAsia="宋体" w:cs="宋体"/>
          <w:color w:val="auto"/>
          <w:sz w:val="21"/>
          <w:highlight w:val="none"/>
        </w:rPr>
        <w:t>增加数量在3台以内（含3台）</w:t>
      </w:r>
      <w:r>
        <w:rPr>
          <w:rFonts w:hint="eastAsia" w:ascii="宋体" w:hAnsi="宋体" w:eastAsia="宋体" w:cs="宋体"/>
          <w:color w:val="auto"/>
          <w:sz w:val="21"/>
          <w:highlight w:val="none"/>
          <w:lang w:eastAsia="zh-CN"/>
        </w:rPr>
        <w:t>的</w:t>
      </w:r>
      <w:r>
        <w:rPr>
          <w:rFonts w:hint="eastAsia" w:ascii="宋体" w:hAnsi="宋体" w:eastAsia="宋体" w:cs="宋体"/>
          <w:color w:val="auto"/>
          <w:sz w:val="21"/>
          <w:highlight w:val="none"/>
          <w:lang w:val="en-US" w:eastAsia="zh-CN"/>
        </w:rPr>
        <w:t>不作调整</w:t>
      </w:r>
      <w:r>
        <w:rPr>
          <w:rFonts w:hint="eastAsia" w:ascii="宋体" w:hAnsi="宋体" w:eastAsia="宋体" w:cs="宋体"/>
          <w:color w:val="auto"/>
          <w:sz w:val="21"/>
          <w:highlight w:val="none"/>
        </w:rPr>
        <w:t>，中标合同价款不变。如每年增加台数大于3台的，超出部分费用由中标人和采购人双方协商解决。</w:t>
      </w:r>
    </w:p>
    <w:p w14:paraId="01A5656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1.2、</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变压器、总开关、低压开关、无功补偿设备及范围内线路、材料等在正常使用情况下由于维护不当导致损坏的维修和更换；</w:t>
      </w:r>
    </w:p>
    <w:p w14:paraId="08FA2B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1.3、为变压器添加变压器油至标准状态。</w:t>
      </w:r>
    </w:p>
    <w:p w14:paraId="0CC36C1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1.4、</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变压器范围内应设置的安全标志、警告牌。</w:t>
      </w:r>
    </w:p>
    <w:p w14:paraId="72ABB2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1.5、本工程所需更换材料的费用。</w:t>
      </w:r>
    </w:p>
    <w:p w14:paraId="7628BEC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1.6、</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变压器刷漆改色和检修。</w:t>
      </w:r>
    </w:p>
    <w:p w14:paraId="53EA2C1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1.7、其他日常维护。</w:t>
      </w:r>
    </w:p>
    <w:p w14:paraId="32C6C6B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1.8、突发情况抢险应急工作。（中标人须提供突发情况下</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变压器故障维修的应急预案）。</w:t>
      </w:r>
    </w:p>
    <w:p w14:paraId="2EDBC1F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2、采购人按照</w:t>
      </w:r>
      <w:r>
        <w:rPr>
          <w:rFonts w:hint="eastAsia"/>
          <w:color w:val="auto"/>
          <w:sz w:val="21"/>
          <w:highlight w:val="none"/>
          <w:lang w:eastAsia="zh-CN"/>
        </w:rPr>
        <w:t>市政基础设施电线电路</w:t>
      </w:r>
      <w:r>
        <w:rPr>
          <w:rFonts w:hint="eastAsia"/>
          <w:color w:val="auto"/>
          <w:sz w:val="21"/>
          <w:highlight w:val="none"/>
          <w:lang w:val="en-US" w:eastAsia="zh-CN"/>
        </w:rPr>
        <w:t>维护</w:t>
      </w:r>
      <w:r>
        <w:rPr>
          <w:rFonts w:hint="eastAsia"/>
          <w:color w:val="auto"/>
          <w:sz w:val="21"/>
          <w:highlight w:val="none"/>
          <w:lang w:eastAsia="zh-CN"/>
        </w:rPr>
        <w:t>、</w:t>
      </w:r>
      <w:r>
        <w:rPr>
          <w:rFonts w:hint="eastAsia" w:ascii="宋体" w:hAnsi="宋体" w:eastAsia="宋体" w:cs="宋体"/>
          <w:color w:val="auto"/>
          <w:sz w:val="21"/>
          <w:highlight w:val="none"/>
        </w:rPr>
        <w:t>变压器设施维护任务、标准要求，中标人按采购人的管理要求和标准进行</w:t>
      </w:r>
      <w:r>
        <w:rPr>
          <w:rFonts w:hint="eastAsia"/>
          <w:color w:val="auto"/>
          <w:sz w:val="21"/>
          <w:highlight w:val="none"/>
          <w:lang w:eastAsia="zh-CN"/>
        </w:rPr>
        <w:t>市政基础设施电线电路</w:t>
      </w:r>
      <w:r>
        <w:rPr>
          <w:rFonts w:hint="eastAsia"/>
          <w:color w:val="auto"/>
          <w:sz w:val="21"/>
          <w:highlight w:val="none"/>
          <w:lang w:val="en-US" w:eastAsia="zh-CN"/>
        </w:rPr>
        <w:t>维护</w:t>
      </w:r>
      <w:r>
        <w:rPr>
          <w:rFonts w:hint="eastAsia"/>
          <w:color w:val="auto"/>
          <w:sz w:val="21"/>
          <w:highlight w:val="none"/>
          <w:lang w:eastAsia="zh-CN"/>
        </w:rPr>
        <w:t>、</w:t>
      </w:r>
      <w:r>
        <w:rPr>
          <w:rFonts w:hint="eastAsia" w:ascii="宋体" w:hAnsi="宋体" w:eastAsia="宋体" w:cs="宋体"/>
          <w:color w:val="auto"/>
          <w:sz w:val="21"/>
          <w:highlight w:val="none"/>
        </w:rPr>
        <w:t>变压器设施维护工作，并接受采购人的指导、监督和检查验收。</w:t>
      </w:r>
    </w:p>
    <w:p w14:paraId="4AF6019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w:t>
      </w:r>
      <w:r>
        <w:rPr>
          <w:rFonts w:hint="eastAsia"/>
          <w:color w:val="auto"/>
          <w:sz w:val="21"/>
          <w:highlight w:val="none"/>
          <w:lang w:eastAsia="zh-CN"/>
        </w:rPr>
        <w:t>市政基础设施电线电路</w:t>
      </w:r>
      <w:r>
        <w:rPr>
          <w:rFonts w:hint="eastAsia"/>
          <w:color w:val="auto"/>
          <w:sz w:val="21"/>
          <w:highlight w:val="none"/>
          <w:lang w:val="en-US" w:eastAsia="zh-CN"/>
        </w:rPr>
        <w:t>维护</w:t>
      </w:r>
      <w:r>
        <w:rPr>
          <w:rFonts w:hint="eastAsia"/>
          <w:color w:val="auto"/>
          <w:sz w:val="21"/>
          <w:highlight w:val="none"/>
          <w:lang w:eastAsia="zh-CN"/>
        </w:rPr>
        <w:t>、</w:t>
      </w:r>
      <w:r>
        <w:rPr>
          <w:rFonts w:hint="eastAsia" w:ascii="宋体" w:hAnsi="宋体" w:eastAsia="宋体" w:cs="宋体"/>
          <w:color w:val="auto"/>
          <w:sz w:val="21"/>
          <w:highlight w:val="none"/>
        </w:rPr>
        <w:t>变压器维修养护要求：</w:t>
      </w:r>
    </w:p>
    <w:p w14:paraId="7F95FD8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3.1、服务期内，中标人应对承包管养的设施进行及时、有效的维修，确保设施完好，不影响市民的日常生活。如中标人不能有效履行职责，采购人有权缩短服务期限或中止合同。</w:t>
      </w:r>
    </w:p>
    <w:p w14:paraId="0F2B6B1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3.2、中标人须按照建设部《电力变压器运行规程》DL/T 572-95，《电力变压器检修导则》DL/T 573-95、采购人制定的</w:t>
      </w:r>
      <w:r>
        <w:rPr>
          <w:rFonts w:hint="eastAsia" w:ascii="宋体" w:hAnsi="宋体" w:cs="宋体"/>
          <w:color w:val="auto"/>
          <w:sz w:val="21"/>
          <w:highlight w:val="none"/>
          <w:lang w:eastAsia="zh-CN"/>
        </w:rPr>
        <w:t>“民众街道市政基础设施电线电路、变压器维护管理评分细则”</w:t>
      </w:r>
      <w:r>
        <w:rPr>
          <w:rFonts w:hint="eastAsia" w:ascii="宋体" w:hAnsi="宋体" w:eastAsia="宋体" w:cs="宋体"/>
          <w:color w:val="auto"/>
          <w:sz w:val="21"/>
          <w:highlight w:val="none"/>
        </w:rPr>
        <w:t>等有关要求（有新标准时则按照新标准执行），做好</w:t>
      </w:r>
      <w:r>
        <w:rPr>
          <w:rFonts w:hint="eastAsia" w:ascii="宋体" w:hAnsi="宋体" w:eastAsia="宋体" w:cs="宋体"/>
          <w:color w:val="auto"/>
          <w:sz w:val="21"/>
          <w:highlight w:val="none"/>
          <w:lang w:val="en-US" w:eastAsia="zh-CN"/>
        </w:rPr>
        <w:t>民众街道</w:t>
      </w:r>
      <w:r>
        <w:rPr>
          <w:rFonts w:hint="eastAsia"/>
          <w:color w:val="auto"/>
          <w:sz w:val="21"/>
          <w:highlight w:val="none"/>
          <w:lang w:eastAsia="zh-CN"/>
        </w:rPr>
        <w:t>市政基础设施电线电路</w:t>
      </w:r>
      <w:r>
        <w:rPr>
          <w:rFonts w:hint="eastAsia" w:ascii="宋体" w:hAnsi="宋体" w:cs="宋体"/>
          <w:color w:val="auto"/>
          <w:sz w:val="21"/>
          <w:highlight w:val="none"/>
          <w:lang w:eastAsia="zh-CN"/>
        </w:rPr>
        <w:t>、</w:t>
      </w:r>
      <w:r>
        <w:rPr>
          <w:rFonts w:hint="eastAsia" w:ascii="宋体" w:hAnsi="宋体" w:eastAsia="宋体" w:cs="宋体"/>
          <w:color w:val="auto"/>
          <w:sz w:val="21"/>
          <w:highlight w:val="none"/>
        </w:rPr>
        <w:t>变压器设施的日常维护保养工作，建立健全相应的管理档案制度，保证</w:t>
      </w:r>
      <w:r>
        <w:rPr>
          <w:rFonts w:hint="eastAsia" w:ascii="宋体" w:hAnsi="宋体" w:eastAsia="宋体" w:cs="宋体"/>
          <w:color w:val="auto"/>
          <w:sz w:val="21"/>
          <w:highlight w:val="none"/>
          <w:lang w:val="en-US" w:eastAsia="zh-CN"/>
        </w:rPr>
        <w:t>民众街道</w:t>
      </w:r>
      <w:r>
        <w:rPr>
          <w:rFonts w:hint="eastAsia"/>
          <w:color w:val="auto"/>
          <w:sz w:val="21"/>
          <w:highlight w:val="none"/>
          <w:lang w:eastAsia="zh-CN"/>
        </w:rPr>
        <w:t>市政基础设施电线电路</w:t>
      </w:r>
      <w:r>
        <w:rPr>
          <w:rFonts w:hint="eastAsia" w:ascii="宋体" w:hAnsi="宋体" w:cs="宋体"/>
          <w:color w:val="auto"/>
          <w:sz w:val="21"/>
          <w:highlight w:val="none"/>
          <w:lang w:eastAsia="zh-CN"/>
        </w:rPr>
        <w:t>、</w:t>
      </w:r>
      <w:r>
        <w:rPr>
          <w:rFonts w:hint="eastAsia" w:ascii="宋体" w:hAnsi="宋体" w:eastAsia="宋体" w:cs="宋体"/>
          <w:color w:val="auto"/>
          <w:sz w:val="21"/>
          <w:highlight w:val="none"/>
        </w:rPr>
        <w:t>变压器设施养护及时，力争居民满意，确保其维护水平达到规定标准。</w:t>
      </w:r>
    </w:p>
    <w:p w14:paraId="3E96C1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3.3、</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变压器设施月度抽查完好率不得低于98%、抢修率不得低于100%及每月综合评分在90分以上（含90分）。</w:t>
      </w:r>
    </w:p>
    <w:p w14:paraId="10835B0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3.4、中标人须成立专门的应急小组，以便灾害性天气及突发事件的</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变压器设施抢险工作，在抢险工作中中标人必须无条件服从采购人的指挥调度并完成任务；在事件后24小时内或采购人根据实际情况设定的时间内完成现场</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变压器设施修复工作。否则由此导致的照明不正常引发的交通事故、漏电事故等的</w:t>
      </w:r>
      <w:r>
        <w:rPr>
          <w:rFonts w:hint="eastAsia" w:ascii="宋体" w:hAnsi="宋体" w:eastAsia="宋体" w:cs="宋体"/>
          <w:color w:val="auto"/>
          <w:sz w:val="21"/>
          <w:highlight w:val="none"/>
          <w:lang w:eastAsia="zh-CN"/>
        </w:rPr>
        <w:t>一切后果</w:t>
      </w:r>
      <w:r>
        <w:rPr>
          <w:rFonts w:hint="eastAsia" w:ascii="宋体" w:hAnsi="宋体" w:eastAsia="宋体" w:cs="宋体"/>
          <w:color w:val="auto"/>
          <w:sz w:val="21"/>
          <w:highlight w:val="none"/>
        </w:rPr>
        <w:t>由中标人负责。对于灾害性天气造成的</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变压器设施损坏，由中标人负责恢复的人工费、材料费、机械费、运输费等一切相关费用。</w:t>
      </w:r>
    </w:p>
    <w:p w14:paraId="7EB288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3.5、每逢重大节日（国庆节、五一劳动节、春节及政府重大活动日）中标人须提前三天对维护范围内的</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变压器设施进行检查，节前须将检查情况书面报告采购人，节日期间须安排管理人员值班。</w:t>
      </w:r>
    </w:p>
    <w:p w14:paraId="4F2D4B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3.6、采购人根据需要对中标人承包范围内的</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变压器设施进行改造，中标人应全力配合采购人的</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变压器设施改造工作。但采购人不承诺此类</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变压器设施改造工作发包给中标人进行施工。</w:t>
      </w:r>
    </w:p>
    <w:p w14:paraId="6B5A331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★4、</w:t>
      </w:r>
      <w:r>
        <w:rPr>
          <w:rFonts w:hint="eastAsia"/>
          <w:color w:val="auto"/>
          <w:sz w:val="21"/>
          <w:highlight w:val="none"/>
          <w:lang w:eastAsia="zh-CN"/>
        </w:rPr>
        <w:t>市政基础设施电线电路、</w:t>
      </w:r>
      <w:r>
        <w:rPr>
          <w:rFonts w:hint="eastAsia" w:ascii="宋体" w:hAnsi="宋体" w:eastAsia="宋体" w:cs="宋体"/>
          <w:b/>
          <w:color w:val="auto"/>
          <w:sz w:val="21"/>
          <w:highlight w:val="none"/>
        </w:rPr>
        <w:t>变压器维护管养服务人员配备：</w:t>
      </w:r>
    </w:p>
    <w:tbl>
      <w:tblPr>
        <w:tblStyle w:val="5"/>
        <w:tblW w:w="8904" w:type="dxa"/>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03"/>
        <w:gridCol w:w="2174"/>
        <w:gridCol w:w="800"/>
        <w:gridCol w:w="5427"/>
      </w:tblGrid>
      <w:tr w14:paraId="417E87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3" w:type="dxa"/>
            <w:tcBorders>
              <w:top w:val="single" w:color="000000" w:sz="4" w:space="0"/>
              <w:left w:val="single" w:color="000000" w:sz="4" w:space="0"/>
              <w:bottom w:val="single" w:color="000000" w:sz="4" w:space="0"/>
              <w:right w:val="single" w:color="000000" w:sz="4" w:space="0"/>
            </w:tcBorders>
            <w:vAlign w:val="top"/>
          </w:tcPr>
          <w:p w14:paraId="312BC9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序号</w:t>
            </w:r>
          </w:p>
        </w:tc>
        <w:tc>
          <w:tcPr>
            <w:tcW w:w="2174" w:type="dxa"/>
            <w:tcBorders>
              <w:top w:val="single" w:color="000000" w:sz="4" w:space="0"/>
              <w:left w:val="single" w:color="000000" w:sz="4" w:space="0"/>
              <w:bottom w:val="single" w:color="000000" w:sz="4" w:space="0"/>
              <w:right w:val="single" w:color="000000" w:sz="4" w:space="0"/>
            </w:tcBorders>
            <w:vAlign w:val="top"/>
          </w:tcPr>
          <w:p w14:paraId="10B86B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人员岗位</w:t>
            </w:r>
          </w:p>
        </w:tc>
        <w:tc>
          <w:tcPr>
            <w:tcW w:w="800" w:type="dxa"/>
            <w:tcBorders>
              <w:top w:val="single" w:color="000000" w:sz="4" w:space="0"/>
              <w:left w:val="single" w:color="000000" w:sz="4" w:space="0"/>
              <w:bottom w:val="single" w:color="000000" w:sz="4" w:space="0"/>
              <w:right w:val="single" w:color="000000" w:sz="4" w:space="0"/>
            </w:tcBorders>
            <w:vAlign w:val="top"/>
          </w:tcPr>
          <w:p w14:paraId="41A226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人数</w:t>
            </w:r>
          </w:p>
        </w:tc>
        <w:tc>
          <w:tcPr>
            <w:tcW w:w="5427" w:type="dxa"/>
            <w:tcBorders>
              <w:top w:val="single" w:color="000000" w:sz="4" w:space="0"/>
              <w:left w:val="single" w:color="000000" w:sz="4" w:space="0"/>
              <w:bottom w:val="single" w:color="000000" w:sz="4" w:space="0"/>
              <w:right w:val="single" w:color="000000" w:sz="4" w:space="0"/>
            </w:tcBorders>
            <w:vAlign w:val="top"/>
          </w:tcPr>
          <w:p w14:paraId="25493F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专业或证书要求</w:t>
            </w:r>
          </w:p>
        </w:tc>
      </w:tr>
      <w:tr w14:paraId="782BF5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3" w:type="dxa"/>
            <w:tcBorders>
              <w:top w:val="nil"/>
              <w:left w:val="single" w:color="000000" w:sz="4" w:space="0"/>
              <w:bottom w:val="single" w:color="000000" w:sz="4" w:space="0"/>
              <w:right w:val="single" w:color="000000" w:sz="4" w:space="0"/>
            </w:tcBorders>
            <w:vAlign w:val="top"/>
          </w:tcPr>
          <w:p w14:paraId="0C4B92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p>
        </w:tc>
        <w:tc>
          <w:tcPr>
            <w:tcW w:w="2174" w:type="dxa"/>
            <w:tcBorders>
              <w:top w:val="nil"/>
              <w:left w:val="single" w:color="000000" w:sz="4" w:space="0"/>
              <w:bottom w:val="single" w:color="000000" w:sz="4" w:space="0"/>
              <w:right w:val="single" w:color="000000" w:sz="4" w:space="0"/>
            </w:tcBorders>
            <w:vAlign w:val="top"/>
          </w:tcPr>
          <w:p w14:paraId="271649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施工负责人</w:t>
            </w:r>
          </w:p>
        </w:tc>
        <w:tc>
          <w:tcPr>
            <w:tcW w:w="800" w:type="dxa"/>
            <w:tcBorders>
              <w:top w:val="nil"/>
              <w:left w:val="single" w:color="000000" w:sz="4" w:space="0"/>
              <w:bottom w:val="single" w:color="000000" w:sz="4" w:space="0"/>
              <w:right w:val="single" w:color="000000" w:sz="4" w:space="0"/>
            </w:tcBorders>
            <w:vAlign w:val="top"/>
          </w:tcPr>
          <w:p w14:paraId="3151CB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p>
        </w:tc>
        <w:tc>
          <w:tcPr>
            <w:tcW w:w="5427" w:type="dxa"/>
            <w:tcBorders>
              <w:top w:val="nil"/>
              <w:left w:val="single" w:color="000000" w:sz="4" w:space="0"/>
              <w:bottom w:val="single" w:color="000000" w:sz="4" w:space="0"/>
              <w:right w:val="single" w:color="000000" w:sz="4" w:space="0"/>
            </w:tcBorders>
            <w:vAlign w:val="top"/>
          </w:tcPr>
          <w:p w14:paraId="2BAAD8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机电工程专业二级或以上注册建造师资格</w:t>
            </w:r>
          </w:p>
        </w:tc>
      </w:tr>
      <w:tr w14:paraId="4560BF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3" w:type="dxa"/>
            <w:tcBorders>
              <w:top w:val="nil"/>
              <w:left w:val="single" w:color="000000" w:sz="4" w:space="0"/>
              <w:bottom w:val="single" w:color="000000" w:sz="4" w:space="0"/>
              <w:right w:val="single" w:color="000000" w:sz="4" w:space="0"/>
            </w:tcBorders>
            <w:vAlign w:val="top"/>
          </w:tcPr>
          <w:p w14:paraId="508109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2</w:t>
            </w:r>
          </w:p>
        </w:tc>
        <w:tc>
          <w:tcPr>
            <w:tcW w:w="2174" w:type="dxa"/>
            <w:tcBorders>
              <w:top w:val="nil"/>
              <w:left w:val="single" w:color="000000" w:sz="4" w:space="0"/>
              <w:bottom w:val="single" w:color="000000" w:sz="4" w:space="0"/>
              <w:right w:val="single" w:color="000000" w:sz="4" w:space="0"/>
            </w:tcBorders>
            <w:vAlign w:val="top"/>
          </w:tcPr>
          <w:p w14:paraId="710B65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特种作业人员</w:t>
            </w:r>
          </w:p>
        </w:tc>
        <w:tc>
          <w:tcPr>
            <w:tcW w:w="800" w:type="dxa"/>
            <w:tcBorders>
              <w:top w:val="nil"/>
              <w:left w:val="single" w:color="000000" w:sz="4" w:space="0"/>
              <w:bottom w:val="single" w:color="000000" w:sz="4" w:space="0"/>
              <w:right w:val="single" w:color="000000" w:sz="4" w:space="0"/>
            </w:tcBorders>
            <w:vAlign w:val="top"/>
          </w:tcPr>
          <w:p w14:paraId="02397A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sz w:val="21"/>
                <w:highlight w:val="none"/>
              </w:rPr>
              <w:t>≥</w:t>
            </w:r>
            <w:r>
              <w:rPr>
                <w:rFonts w:hint="eastAsia" w:ascii="宋体" w:hAnsi="宋体" w:cs="宋体"/>
                <w:color w:val="auto"/>
                <w:sz w:val="21"/>
                <w:highlight w:val="none"/>
                <w:lang w:val="en-US" w:eastAsia="zh-CN"/>
              </w:rPr>
              <w:t>1</w:t>
            </w:r>
          </w:p>
        </w:tc>
        <w:tc>
          <w:tcPr>
            <w:tcW w:w="5427" w:type="dxa"/>
            <w:tcBorders>
              <w:top w:val="nil"/>
              <w:left w:val="single" w:color="000000" w:sz="4" w:space="0"/>
              <w:bottom w:val="single" w:color="000000" w:sz="4" w:space="0"/>
              <w:right w:val="single" w:color="000000" w:sz="4" w:space="0"/>
            </w:tcBorders>
            <w:vAlign w:val="top"/>
          </w:tcPr>
          <w:p w14:paraId="64F530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安全监管部门颁发的“特种作业操作证”（作业类别：电工作业</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操作项目：高压电工作业</w:t>
            </w:r>
            <w:r>
              <w:rPr>
                <w:rFonts w:hint="eastAsia" w:ascii="宋体" w:hAnsi="宋体" w:eastAsia="宋体" w:cs="宋体"/>
                <w:color w:val="auto"/>
                <w:highlight w:val="none"/>
              </w:rPr>
              <w:t>）</w:t>
            </w:r>
          </w:p>
        </w:tc>
      </w:tr>
      <w:tr w14:paraId="0E352E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3" w:type="dxa"/>
            <w:tcBorders>
              <w:top w:val="nil"/>
              <w:left w:val="single" w:color="000000" w:sz="4" w:space="0"/>
              <w:bottom w:val="single" w:color="000000" w:sz="4" w:space="0"/>
              <w:right w:val="single" w:color="000000" w:sz="4" w:space="0"/>
            </w:tcBorders>
            <w:vAlign w:val="top"/>
          </w:tcPr>
          <w:p w14:paraId="566971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w:t>
            </w:r>
          </w:p>
        </w:tc>
        <w:tc>
          <w:tcPr>
            <w:tcW w:w="2174" w:type="dxa"/>
            <w:tcBorders>
              <w:top w:val="nil"/>
              <w:left w:val="single" w:color="000000" w:sz="4" w:space="0"/>
              <w:bottom w:val="single" w:color="000000" w:sz="4" w:space="0"/>
              <w:right w:val="single" w:color="000000" w:sz="4" w:space="0"/>
            </w:tcBorders>
            <w:vAlign w:val="top"/>
          </w:tcPr>
          <w:p w14:paraId="66EF0F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专职安全管理人员（专职安全员）</w:t>
            </w:r>
          </w:p>
        </w:tc>
        <w:tc>
          <w:tcPr>
            <w:tcW w:w="800" w:type="dxa"/>
            <w:tcBorders>
              <w:top w:val="nil"/>
              <w:left w:val="single" w:color="000000" w:sz="4" w:space="0"/>
              <w:bottom w:val="single" w:color="000000" w:sz="4" w:space="0"/>
              <w:right w:val="single" w:color="000000" w:sz="4" w:space="0"/>
            </w:tcBorders>
            <w:vAlign w:val="top"/>
          </w:tcPr>
          <w:p w14:paraId="00C6F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p>
        </w:tc>
        <w:tc>
          <w:tcPr>
            <w:tcW w:w="5427" w:type="dxa"/>
            <w:tcBorders>
              <w:top w:val="nil"/>
              <w:left w:val="single" w:color="000000" w:sz="4" w:space="0"/>
              <w:bottom w:val="single" w:color="000000" w:sz="4" w:space="0"/>
              <w:right w:val="single" w:color="000000" w:sz="4" w:space="0"/>
            </w:tcBorders>
            <w:vAlign w:val="top"/>
          </w:tcPr>
          <w:p w14:paraId="469A5B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安全生产考核资格证（C类）或注册安全工程师或安全督导员或安全主任资格证</w:t>
            </w:r>
          </w:p>
        </w:tc>
      </w:tr>
    </w:tbl>
    <w:p w14:paraId="38B8720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lang w:eastAsia="zh-CN"/>
        </w:rPr>
      </w:pPr>
      <w:r>
        <w:rPr>
          <w:rFonts w:hint="eastAsia" w:ascii="宋体" w:hAnsi="宋体" w:eastAsia="宋体" w:cs="宋体"/>
          <w:b/>
          <w:color w:val="auto"/>
          <w:sz w:val="21"/>
          <w:highlight w:val="none"/>
        </w:rPr>
        <w:t>注：投标人应承诺</w:t>
      </w:r>
      <w:r>
        <w:rPr>
          <w:rFonts w:hint="eastAsia" w:ascii="宋体" w:hAnsi="宋体" w:eastAsia="宋体" w:cs="宋体"/>
          <w:b/>
          <w:color w:val="auto"/>
          <w:sz w:val="21"/>
          <w:highlight w:val="none"/>
          <w:lang w:val="en-US" w:eastAsia="zh-CN"/>
        </w:rPr>
        <w:t>若</w:t>
      </w:r>
      <w:r>
        <w:rPr>
          <w:rFonts w:hint="eastAsia" w:ascii="宋体" w:hAnsi="宋体" w:eastAsia="宋体" w:cs="宋体"/>
          <w:b/>
          <w:color w:val="auto"/>
          <w:sz w:val="21"/>
          <w:highlight w:val="none"/>
        </w:rPr>
        <w:t>中标，合同签订时保证投标文件中拟投入本项目的人员全部到位，如本维护内容实行分包的，则分包单位的投入人员全部到位，中标人与分包单位就本维护内容承担连带责任。</w:t>
      </w:r>
      <w:r>
        <w:rPr>
          <w:rFonts w:hint="eastAsia" w:ascii="宋体" w:hAnsi="宋体" w:cs="宋体"/>
          <w:b/>
          <w:color w:val="auto"/>
          <w:sz w:val="21"/>
          <w:highlight w:val="none"/>
          <w:lang w:eastAsia="zh-CN"/>
        </w:rPr>
        <w:t>（投标时在相关响应表中作出响应或提供承诺书并加盖公章视为满足采购需求。）</w:t>
      </w:r>
    </w:p>
    <w:p w14:paraId="430143C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5、服务要求：</w:t>
      </w:r>
    </w:p>
    <w:p w14:paraId="1B763D0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5.1、中标人须针对各设备运行期间所出现的各类问题进行诊断与排除，针对确定的故障、损坏设备，</w:t>
      </w:r>
      <w:r>
        <w:rPr>
          <w:rFonts w:hint="eastAsia" w:ascii="宋体" w:hAnsi="宋体" w:eastAsia="宋体" w:cs="宋体"/>
          <w:color w:val="auto"/>
          <w:sz w:val="21"/>
          <w:highlight w:val="none"/>
          <w:lang w:eastAsia="zh-CN"/>
        </w:rPr>
        <w:t>对</w:t>
      </w:r>
      <w:r>
        <w:rPr>
          <w:rFonts w:hint="eastAsia" w:ascii="宋体" w:hAnsi="宋体" w:eastAsia="宋体" w:cs="宋体"/>
          <w:color w:val="auto"/>
          <w:sz w:val="21"/>
          <w:highlight w:val="none"/>
        </w:rPr>
        <w:t>所更换的设备负责免费安装。并且须定期</w:t>
      </w:r>
      <w:r>
        <w:rPr>
          <w:rFonts w:hint="eastAsia" w:ascii="宋体" w:hAnsi="宋体" w:eastAsia="宋体" w:cs="宋体"/>
          <w:color w:val="auto"/>
          <w:sz w:val="21"/>
          <w:highlight w:val="none"/>
          <w:lang w:eastAsia="zh-CN"/>
        </w:rPr>
        <w:t>对</w:t>
      </w: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变压器进行使用保养及清洁，确保各设备在最佳运行条件下使用。</w:t>
      </w:r>
    </w:p>
    <w:p w14:paraId="1B87924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5.2、中标人为采购人提供的维护服务是全年365天×24小时响应服务，全天24小时服务热线电话，2小时内到达维护现场提供维护和备件更换服务，24小时内设备恢复正常运行等。维护服务内容包括电话支持、现场维护服务、现场备件更换维修服务、定期设备健康检查、现场培训课程和协助系统更新调整等。</w:t>
      </w:r>
    </w:p>
    <w:p w14:paraId="0B5E90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5.3、中标人必须定期对设备进行巡视检查、试验，具体要求如下：</w:t>
      </w:r>
    </w:p>
    <w:tbl>
      <w:tblPr>
        <w:tblStyle w:val="5"/>
        <w:tblW w:w="9182" w:type="dxa"/>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87"/>
        <w:gridCol w:w="4352"/>
        <w:gridCol w:w="2213"/>
        <w:gridCol w:w="1530"/>
      </w:tblGrid>
      <w:tr w14:paraId="60BC53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7" w:type="dxa"/>
            <w:tcBorders>
              <w:top w:val="single" w:color="000000" w:sz="4" w:space="0"/>
              <w:left w:val="single" w:color="000000" w:sz="4" w:space="0"/>
              <w:bottom w:val="single" w:color="000000" w:sz="4" w:space="0"/>
              <w:right w:val="single" w:color="000000" w:sz="4" w:space="0"/>
            </w:tcBorders>
            <w:vAlign w:val="top"/>
          </w:tcPr>
          <w:p w14:paraId="055E59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序号</w:t>
            </w:r>
          </w:p>
        </w:tc>
        <w:tc>
          <w:tcPr>
            <w:tcW w:w="4352" w:type="dxa"/>
            <w:tcBorders>
              <w:top w:val="single" w:color="000000" w:sz="4" w:space="0"/>
              <w:left w:val="single" w:color="000000" w:sz="4" w:space="0"/>
              <w:bottom w:val="single" w:color="000000" w:sz="4" w:space="0"/>
              <w:right w:val="single" w:color="000000" w:sz="4" w:space="0"/>
            </w:tcBorders>
            <w:vAlign w:val="top"/>
          </w:tcPr>
          <w:p w14:paraId="795910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项目</w:t>
            </w:r>
          </w:p>
        </w:tc>
        <w:tc>
          <w:tcPr>
            <w:tcW w:w="2213" w:type="dxa"/>
            <w:tcBorders>
              <w:top w:val="single" w:color="000000" w:sz="4" w:space="0"/>
              <w:left w:val="single" w:color="000000" w:sz="4" w:space="0"/>
              <w:bottom w:val="single" w:color="000000" w:sz="4" w:space="0"/>
              <w:right w:val="single" w:color="000000" w:sz="4" w:space="0"/>
            </w:tcBorders>
            <w:vAlign w:val="top"/>
          </w:tcPr>
          <w:p w14:paraId="4B2B79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周期</w:t>
            </w:r>
          </w:p>
        </w:tc>
        <w:tc>
          <w:tcPr>
            <w:tcW w:w="1530" w:type="dxa"/>
            <w:tcBorders>
              <w:top w:val="single" w:color="000000" w:sz="4" w:space="0"/>
              <w:left w:val="single" w:color="000000" w:sz="4" w:space="0"/>
              <w:bottom w:val="single" w:color="000000" w:sz="4" w:space="0"/>
              <w:right w:val="single" w:color="000000" w:sz="4" w:space="0"/>
            </w:tcBorders>
            <w:vAlign w:val="top"/>
          </w:tcPr>
          <w:p w14:paraId="0D21F4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rPr>
              <w:t>备注</w:t>
            </w:r>
          </w:p>
        </w:tc>
      </w:tr>
      <w:tr w14:paraId="4251CB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7" w:type="dxa"/>
            <w:tcBorders>
              <w:top w:val="nil"/>
              <w:left w:val="single" w:color="000000" w:sz="4" w:space="0"/>
              <w:bottom w:val="single" w:color="000000" w:sz="4" w:space="0"/>
              <w:right w:val="single" w:color="000000" w:sz="4" w:space="0"/>
            </w:tcBorders>
            <w:vAlign w:val="top"/>
          </w:tcPr>
          <w:p w14:paraId="375C2B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w:t>
            </w:r>
          </w:p>
        </w:tc>
        <w:tc>
          <w:tcPr>
            <w:tcW w:w="4352" w:type="dxa"/>
            <w:tcBorders>
              <w:top w:val="nil"/>
              <w:left w:val="single" w:color="000000" w:sz="4" w:space="0"/>
              <w:bottom w:val="single" w:color="000000" w:sz="4" w:space="0"/>
              <w:right w:val="single" w:color="000000" w:sz="4" w:space="0"/>
            </w:tcBorders>
            <w:vAlign w:val="top"/>
          </w:tcPr>
          <w:p w14:paraId="563BC1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定期巡视</w:t>
            </w:r>
          </w:p>
        </w:tc>
        <w:tc>
          <w:tcPr>
            <w:tcW w:w="2213" w:type="dxa"/>
            <w:tcBorders>
              <w:top w:val="nil"/>
              <w:left w:val="single" w:color="000000" w:sz="4" w:space="0"/>
              <w:bottom w:val="single" w:color="000000" w:sz="4" w:space="0"/>
              <w:right w:val="single" w:color="000000" w:sz="4" w:space="0"/>
            </w:tcBorders>
            <w:vAlign w:val="top"/>
          </w:tcPr>
          <w:p w14:paraId="3E1A1B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每月一次</w:t>
            </w:r>
          </w:p>
        </w:tc>
        <w:tc>
          <w:tcPr>
            <w:tcW w:w="1530" w:type="dxa"/>
            <w:tcBorders>
              <w:top w:val="nil"/>
              <w:left w:val="single" w:color="000000" w:sz="4" w:space="0"/>
              <w:bottom w:val="single" w:color="000000" w:sz="4" w:space="0"/>
              <w:right w:val="single" w:color="000000" w:sz="4" w:space="0"/>
            </w:tcBorders>
            <w:vAlign w:val="top"/>
          </w:tcPr>
          <w:p w14:paraId="376C20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12次/年</w:t>
            </w:r>
          </w:p>
        </w:tc>
      </w:tr>
      <w:tr w14:paraId="36F940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7" w:type="dxa"/>
            <w:tcBorders>
              <w:top w:val="nil"/>
              <w:left w:val="single" w:color="000000" w:sz="4" w:space="0"/>
              <w:bottom w:val="single" w:color="000000" w:sz="4" w:space="0"/>
              <w:right w:val="single" w:color="000000" w:sz="4" w:space="0"/>
            </w:tcBorders>
            <w:vAlign w:val="top"/>
          </w:tcPr>
          <w:p w14:paraId="562CC7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2</w:t>
            </w:r>
          </w:p>
        </w:tc>
        <w:tc>
          <w:tcPr>
            <w:tcW w:w="4352" w:type="dxa"/>
            <w:tcBorders>
              <w:top w:val="nil"/>
              <w:left w:val="single" w:color="000000" w:sz="4" w:space="0"/>
              <w:bottom w:val="single" w:color="000000" w:sz="4" w:space="0"/>
              <w:right w:val="single" w:color="000000" w:sz="4" w:space="0"/>
            </w:tcBorders>
            <w:vAlign w:val="top"/>
          </w:tcPr>
          <w:p w14:paraId="67B7AC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清扫套管检查熔丝等维护工作</w:t>
            </w:r>
          </w:p>
        </w:tc>
        <w:tc>
          <w:tcPr>
            <w:tcW w:w="2213" w:type="dxa"/>
            <w:tcBorders>
              <w:top w:val="nil"/>
              <w:left w:val="single" w:color="000000" w:sz="4" w:space="0"/>
              <w:bottom w:val="single" w:color="000000" w:sz="4" w:space="0"/>
              <w:right w:val="single" w:color="000000" w:sz="4" w:space="0"/>
            </w:tcBorders>
            <w:vAlign w:val="top"/>
          </w:tcPr>
          <w:p w14:paraId="2E81F0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每年一次</w:t>
            </w:r>
          </w:p>
        </w:tc>
        <w:tc>
          <w:tcPr>
            <w:tcW w:w="1530" w:type="dxa"/>
            <w:tcBorders>
              <w:top w:val="nil"/>
              <w:left w:val="single" w:color="000000" w:sz="4" w:space="0"/>
              <w:bottom w:val="single" w:color="000000" w:sz="4" w:space="0"/>
              <w:right w:val="single" w:color="000000" w:sz="4" w:space="0"/>
            </w:tcBorders>
            <w:vAlign w:val="top"/>
          </w:tcPr>
          <w:p w14:paraId="0C4671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1次/年</w:t>
            </w:r>
          </w:p>
        </w:tc>
      </w:tr>
      <w:tr w14:paraId="667D4D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7" w:type="dxa"/>
            <w:tcBorders>
              <w:top w:val="nil"/>
              <w:left w:val="single" w:color="000000" w:sz="4" w:space="0"/>
              <w:bottom w:val="single" w:color="000000" w:sz="4" w:space="0"/>
              <w:right w:val="single" w:color="000000" w:sz="4" w:space="0"/>
            </w:tcBorders>
            <w:vAlign w:val="top"/>
          </w:tcPr>
          <w:p w14:paraId="6C26C7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w:t>
            </w:r>
          </w:p>
        </w:tc>
        <w:tc>
          <w:tcPr>
            <w:tcW w:w="4352" w:type="dxa"/>
            <w:tcBorders>
              <w:top w:val="nil"/>
              <w:left w:val="single" w:color="000000" w:sz="4" w:space="0"/>
              <w:bottom w:val="single" w:color="000000" w:sz="4" w:space="0"/>
              <w:right w:val="single" w:color="000000" w:sz="4" w:space="0"/>
            </w:tcBorders>
            <w:vAlign w:val="top"/>
          </w:tcPr>
          <w:p w14:paraId="5BB9CF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绝缘电阻测量</w:t>
            </w:r>
          </w:p>
        </w:tc>
        <w:tc>
          <w:tcPr>
            <w:tcW w:w="2213" w:type="dxa"/>
            <w:tcBorders>
              <w:top w:val="nil"/>
              <w:left w:val="single" w:color="000000" w:sz="4" w:space="0"/>
              <w:bottom w:val="single" w:color="000000" w:sz="4" w:space="0"/>
              <w:right w:val="single" w:color="000000" w:sz="4" w:space="0"/>
            </w:tcBorders>
            <w:vAlign w:val="top"/>
          </w:tcPr>
          <w:p w14:paraId="00994E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每年一次</w:t>
            </w:r>
          </w:p>
        </w:tc>
        <w:tc>
          <w:tcPr>
            <w:tcW w:w="1530" w:type="dxa"/>
            <w:tcBorders>
              <w:top w:val="nil"/>
              <w:left w:val="single" w:color="000000" w:sz="4" w:space="0"/>
              <w:bottom w:val="single" w:color="000000" w:sz="4" w:space="0"/>
              <w:right w:val="single" w:color="000000" w:sz="4" w:space="0"/>
            </w:tcBorders>
            <w:vAlign w:val="top"/>
          </w:tcPr>
          <w:p w14:paraId="052D63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1次/年</w:t>
            </w:r>
          </w:p>
        </w:tc>
      </w:tr>
      <w:tr w14:paraId="5664F3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7" w:type="dxa"/>
            <w:tcBorders>
              <w:top w:val="nil"/>
              <w:left w:val="single" w:color="000000" w:sz="4" w:space="0"/>
              <w:bottom w:val="single" w:color="000000" w:sz="4" w:space="0"/>
              <w:right w:val="single" w:color="000000" w:sz="4" w:space="0"/>
            </w:tcBorders>
            <w:vAlign w:val="top"/>
          </w:tcPr>
          <w:p w14:paraId="28562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4</w:t>
            </w:r>
          </w:p>
        </w:tc>
        <w:tc>
          <w:tcPr>
            <w:tcW w:w="4352" w:type="dxa"/>
            <w:tcBorders>
              <w:top w:val="nil"/>
              <w:left w:val="single" w:color="000000" w:sz="4" w:space="0"/>
              <w:bottom w:val="single" w:color="000000" w:sz="4" w:space="0"/>
              <w:right w:val="single" w:color="000000" w:sz="4" w:space="0"/>
            </w:tcBorders>
            <w:vAlign w:val="top"/>
          </w:tcPr>
          <w:p w14:paraId="7ECDA7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接地电阻测量</w:t>
            </w:r>
          </w:p>
        </w:tc>
        <w:tc>
          <w:tcPr>
            <w:tcW w:w="2213" w:type="dxa"/>
            <w:tcBorders>
              <w:top w:val="nil"/>
              <w:left w:val="single" w:color="000000" w:sz="4" w:space="0"/>
              <w:bottom w:val="single" w:color="000000" w:sz="4" w:space="0"/>
              <w:right w:val="single" w:color="000000" w:sz="4" w:space="0"/>
            </w:tcBorders>
            <w:vAlign w:val="top"/>
          </w:tcPr>
          <w:p w14:paraId="35B40B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每年至少一次</w:t>
            </w:r>
          </w:p>
        </w:tc>
        <w:tc>
          <w:tcPr>
            <w:tcW w:w="1530" w:type="dxa"/>
            <w:tcBorders>
              <w:top w:val="nil"/>
              <w:left w:val="single" w:color="000000" w:sz="4" w:space="0"/>
              <w:bottom w:val="single" w:color="000000" w:sz="4" w:space="0"/>
              <w:right w:val="single" w:color="000000" w:sz="4" w:space="0"/>
            </w:tcBorders>
            <w:vAlign w:val="top"/>
          </w:tcPr>
          <w:p w14:paraId="6C8BC9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r>
      <w:tr w14:paraId="0D2405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7" w:type="dxa"/>
            <w:tcBorders>
              <w:top w:val="nil"/>
              <w:left w:val="single" w:color="000000" w:sz="4" w:space="0"/>
              <w:bottom w:val="single" w:color="000000" w:sz="4" w:space="0"/>
              <w:right w:val="single" w:color="000000" w:sz="4" w:space="0"/>
            </w:tcBorders>
            <w:vAlign w:val="top"/>
          </w:tcPr>
          <w:p w14:paraId="328A29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w:t>
            </w:r>
          </w:p>
        </w:tc>
        <w:tc>
          <w:tcPr>
            <w:tcW w:w="4352" w:type="dxa"/>
            <w:tcBorders>
              <w:top w:val="nil"/>
              <w:left w:val="single" w:color="000000" w:sz="4" w:space="0"/>
              <w:bottom w:val="single" w:color="000000" w:sz="4" w:space="0"/>
              <w:right w:val="single" w:color="000000" w:sz="4" w:space="0"/>
            </w:tcBorders>
            <w:vAlign w:val="top"/>
          </w:tcPr>
          <w:p w14:paraId="2EAF25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负荷测量</w:t>
            </w:r>
          </w:p>
        </w:tc>
        <w:tc>
          <w:tcPr>
            <w:tcW w:w="2213" w:type="dxa"/>
            <w:tcBorders>
              <w:top w:val="nil"/>
              <w:left w:val="single" w:color="000000" w:sz="4" w:space="0"/>
              <w:bottom w:val="single" w:color="000000" w:sz="4" w:space="0"/>
              <w:right w:val="single" w:color="000000" w:sz="4" w:space="0"/>
            </w:tcBorders>
            <w:vAlign w:val="top"/>
          </w:tcPr>
          <w:p w14:paraId="64466A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每季度至少一次</w:t>
            </w:r>
          </w:p>
        </w:tc>
        <w:tc>
          <w:tcPr>
            <w:tcW w:w="1530" w:type="dxa"/>
            <w:tcBorders>
              <w:top w:val="nil"/>
              <w:left w:val="single" w:color="000000" w:sz="4" w:space="0"/>
              <w:bottom w:val="single" w:color="000000" w:sz="4" w:space="0"/>
              <w:right w:val="single" w:color="000000" w:sz="4" w:space="0"/>
            </w:tcBorders>
            <w:vAlign w:val="top"/>
          </w:tcPr>
          <w:p w14:paraId="39106C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r>
      <w:tr w14:paraId="4EE528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7" w:type="dxa"/>
            <w:tcBorders>
              <w:top w:val="nil"/>
              <w:left w:val="single" w:color="000000" w:sz="4" w:space="0"/>
              <w:bottom w:val="single" w:color="000000" w:sz="4" w:space="0"/>
              <w:right w:val="single" w:color="000000" w:sz="4" w:space="0"/>
            </w:tcBorders>
            <w:vAlign w:val="top"/>
          </w:tcPr>
          <w:p w14:paraId="5BDF1B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w:t>
            </w:r>
          </w:p>
        </w:tc>
        <w:tc>
          <w:tcPr>
            <w:tcW w:w="4352" w:type="dxa"/>
            <w:tcBorders>
              <w:top w:val="nil"/>
              <w:left w:val="single" w:color="000000" w:sz="4" w:space="0"/>
              <w:bottom w:val="single" w:color="000000" w:sz="4" w:space="0"/>
              <w:right w:val="single" w:color="000000" w:sz="4" w:space="0"/>
            </w:tcBorders>
            <w:vAlign w:val="top"/>
          </w:tcPr>
          <w:p w14:paraId="7D40FE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color w:val="auto"/>
                <w:sz w:val="21"/>
                <w:highlight w:val="none"/>
                <w:lang w:eastAsia="zh-CN"/>
              </w:rPr>
              <w:t>市政基础设施电线电路、</w:t>
            </w:r>
            <w:r>
              <w:rPr>
                <w:rFonts w:hint="eastAsia" w:ascii="宋体" w:hAnsi="宋体" w:eastAsia="宋体" w:cs="宋体"/>
                <w:color w:val="auto"/>
                <w:sz w:val="21"/>
                <w:highlight w:val="none"/>
              </w:rPr>
              <w:t>变压器油检查</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须停电</w:t>
            </w:r>
            <w:r>
              <w:rPr>
                <w:rFonts w:hint="eastAsia" w:ascii="宋体" w:hAnsi="宋体" w:eastAsia="宋体" w:cs="宋体"/>
                <w:color w:val="auto"/>
                <w:sz w:val="21"/>
                <w:highlight w:val="none"/>
                <w:lang w:eastAsia="zh-CN"/>
              </w:rPr>
              <w:t>）</w:t>
            </w:r>
          </w:p>
        </w:tc>
        <w:tc>
          <w:tcPr>
            <w:tcW w:w="2213" w:type="dxa"/>
            <w:tcBorders>
              <w:top w:val="nil"/>
              <w:left w:val="single" w:color="000000" w:sz="4" w:space="0"/>
              <w:bottom w:val="single" w:color="000000" w:sz="4" w:space="0"/>
              <w:right w:val="single" w:color="000000" w:sz="4" w:space="0"/>
            </w:tcBorders>
            <w:vAlign w:val="top"/>
          </w:tcPr>
          <w:p w14:paraId="79AA4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每季度至少一次</w:t>
            </w:r>
          </w:p>
        </w:tc>
        <w:tc>
          <w:tcPr>
            <w:tcW w:w="1530" w:type="dxa"/>
            <w:tcBorders>
              <w:top w:val="nil"/>
              <w:left w:val="single" w:color="000000" w:sz="4" w:space="0"/>
              <w:bottom w:val="single" w:color="000000" w:sz="4" w:space="0"/>
              <w:right w:val="single" w:color="000000" w:sz="4" w:space="0"/>
            </w:tcBorders>
            <w:vAlign w:val="top"/>
          </w:tcPr>
          <w:p w14:paraId="360862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w:t>
            </w:r>
          </w:p>
        </w:tc>
      </w:tr>
    </w:tbl>
    <w:p w14:paraId="0136EA2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5.4、投标人应承诺中标后，合同签订时为本项目提供足够的车辆</w:t>
      </w:r>
      <w:r>
        <w:rPr>
          <w:rFonts w:hint="eastAsia" w:ascii="宋体" w:hAnsi="宋体" w:eastAsia="宋体" w:cs="宋体"/>
          <w:color w:val="auto"/>
          <w:sz w:val="21"/>
          <w:highlight w:val="none"/>
          <w:lang w:val="en-US" w:eastAsia="zh-CN"/>
        </w:rPr>
        <w:t>及设备</w:t>
      </w:r>
      <w:r>
        <w:rPr>
          <w:rFonts w:hint="eastAsia" w:ascii="宋体" w:hAnsi="宋体" w:eastAsia="宋体" w:cs="宋体"/>
          <w:color w:val="auto"/>
          <w:sz w:val="21"/>
          <w:highlight w:val="none"/>
        </w:rPr>
        <w:t>，包括</w:t>
      </w:r>
      <w:r>
        <w:rPr>
          <w:rFonts w:hint="eastAsia" w:ascii="宋体" w:hAnsi="宋体" w:eastAsia="宋体" w:cs="宋体"/>
          <w:color w:val="auto"/>
          <w:sz w:val="21"/>
          <w:highlight w:val="none"/>
          <w:lang w:val="en-US" w:eastAsia="zh-CN"/>
        </w:rPr>
        <w:t>但不限于</w:t>
      </w:r>
      <w:r>
        <w:rPr>
          <w:rFonts w:hint="eastAsia" w:ascii="宋体" w:hAnsi="宋体" w:eastAsia="宋体" w:cs="宋体"/>
          <w:color w:val="auto"/>
          <w:sz w:val="21"/>
          <w:highlight w:val="none"/>
        </w:rPr>
        <w:t>吊车、高压维护设备、工具车辆、发电机、电焊机、铁护栏、警示灯等。对于应急故障，应立即安排车辆到指定地点进行处理。应维护工作需要，最迟不超过下一个工作日安排服务用车供本项目使用。如本维护内容实行分包的，则分包单位的投入车辆设备全部到位，中标人与分包单位就本维护内容承担连带责任。</w:t>
      </w:r>
    </w:p>
    <w:p w14:paraId="7BC3EB5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6、工作要求：</w:t>
      </w:r>
    </w:p>
    <w:p w14:paraId="2F44B1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6.1、与采购人进行充分沟通，清晰了解用户方的各类要求。</w:t>
      </w:r>
    </w:p>
    <w:p w14:paraId="1EC7F9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6.2、建立内部管理制度，加强内部管理，认真做好各项工作。</w:t>
      </w:r>
    </w:p>
    <w:p w14:paraId="10C9029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6.3、按照采购人要求提交各类方案、报告等文档，文档在提交前须经中标人拟派项目负责人审阅，关键文档需加盖公章</w:t>
      </w:r>
    </w:p>
    <w:p w14:paraId="4F9240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6.4、尽快了解并熟悉采购人在用的各类设备、状况，当遇到不清楚的问题时，应及时与采购人协商解决。</w:t>
      </w:r>
    </w:p>
    <w:p w14:paraId="19D9555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6.5、注意经验积累，记录工作日志，及时总结归纳经验。</w:t>
      </w:r>
    </w:p>
    <w:p w14:paraId="31A00B4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6.6、在施工期间应严格遵守国家、省、市有关防火、爆破和施工安全以及文明施工、深夜施工、环卫和城管等规定，建立规章制度和防护措施。否则，由此造成的损失或被有关部门处罚，均由中标人负责。</w:t>
      </w:r>
    </w:p>
    <w:p w14:paraId="3071841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6.7、在施工期间，废料即清即运，维修养护材料堆放整齐，堆放时间不得超过24小时，对</w:t>
      </w:r>
      <w:r>
        <w:rPr>
          <w:rFonts w:hint="eastAsia" w:ascii="宋体" w:hAnsi="宋体" w:eastAsia="宋体" w:cs="宋体"/>
          <w:color w:val="auto"/>
          <w:sz w:val="21"/>
          <w:highlight w:val="none"/>
          <w:lang w:val="en-US" w:eastAsia="zh-CN"/>
        </w:rPr>
        <w:t>民众街道</w:t>
      </w:r>
      <w:r>
        <w:rPr>
          <w:rFonts w:hint="eastAsia" w:ascii="宋体" w:hAnsi="宋体" w:eastAsia="宋体" w:cs="宋体"/>
          <w:color w:val="auto"/>
          <w:sz w:val="21"/>
          <w:highlight w:val="none"/>
        </w:rPr>
        <w:t>内交通有影响的维修工程，要求夜间施工，不得封路。</w:t>
      </w:r>
    </w:p>
    <w:p w14:paraId="43E2EA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6.8、中标人应按安全施工的要求，采取严格科学的安全措施，确保施工安全和第三者的安全，承担造成事故的责任和发生的费用。中标人必须为其派出的现场服务人员购买人身意外保险。</w:t>
      </w:r>
    </w:p>
    <w:p w14:paraId="13972EA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7、其他要求：</w:t>
      </w:r>
    </w:p>
    <w:p w14:paraId="3CA9118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7.1、必须提出明确的服务方案、维护保修处理流程、具体的日常维护制度。</w:t>
      </w:r>
    </w:p>
    <w:p w14:paraId="41D6635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7.2、必须有明确的故障响应级别、响应方式和解决措施、详细的故障处理、解决及应急方案、流程。</w:t>
      </w:r>
    </w:p>
    <w:p w14:paraId="0B7680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7.3、具有维修设备的实力和现场排除故障分析能力。</w:t>
      </w:r>
    </w:p>
    <w:p w14:paraId="32E838D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7.4、具有快速的服务响应。</w:t>
      </w:r>
    </w:p>
    <w:p w14:paraId="28AF583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7.5、具有丰富的项目管理经验。</w:t>
      </w:r>
    </w:p>
    <w:p w14:paraId="35B7404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7.6、在采购人确定下一</w:t>
      </w:r>
      <w:r>
        <w:rPr>
          <w:rFonts w:hint="eastAsia" w:ascii="宋体" w:hAnsi="宋体" w:eastAsia="宋体" w:cs="宋体"/>
          <w:color w:val="auto"/>
          <w:sz w:val="21"/>
          <w:highlight w:val="none"/>
          <w:lang w:val="en-US" w:eastAsia="zh-CN"/>
        </w:rPr>
        <w:t>合同</w:t>
      </w:r>
      <w:r>
        <w:rPr>
          <w:rFonts w:hint="eastAsia" w:ascii="宋体" w:hAnsi="宋体" w:eastAsia="宋体" w:cs="宋体"/>
          <w:color w:val="auto"/>
          <w:sz w:val="21"/>
          <w:highlight w:val="none"/>
        </w:rPr>
        <w:t>年度的维护</w:t>
      </w:r>
      <w:r>
        <w:rPr>
          <w:rFonts w:hint="eastAsia" w:ascii="宋体" w:hAnsi="宋体" w:eastAsia="宋体" w:cs="宋体"/>
          <w:color w:val="auto"/>
          <w:sz w:val="21"/>
          <w:highlight w:val="none"/>
          <w:lang w:val="en-US" w:eastAsia="zh-CN"/>
        </w:rPr>
        <w:t>单位</w:t>
      </w:r>
      <w:r>
        <w:rPr>
          <w:rFonts w:hint="eastAsia" w:ascii="宋体" w:hAnsi="宋体" w:eastAsia="宋体" w:cs="宋体"/>
          <w:color w:val="auto"/>
          <w:sz w:val="21"/>
          <w:highlight w:val="none"/>
        </w:rPr>
        <w:t>后，中标人应积极配合移交工作，移交完毕使下一</w:t>
      </w:r>
      <w:r>
        <w:rPr>
          <w:rFonts w:hint="eastAsia" w:ascii="宋体" w:hAnsi="宋体" w:eastAsia="宋体" w:cs="宋体"/>
          <w:color w:val="auto"/>
          <w:sz w:val="21"/>
          <w:highlight w:val="none"/>
          <w:lang w:val="en-US" w:eastAsia="zh-CN"/>
        </w:rPr>
        <w:t>维护单位</w:t>
      </w:r>
      <w:r>
        <w:rPr>
          <w:rFonts w:hint="eastAsia" w:ascii="宋体" w:hAnsi="宋体" w:eastAsia="宋体" w:cs="宋体"/>
          <w:color w:val="auto"/>
          <w:sz w:val="21"/>
          <w:highlight w:val="none"/>
        </w:rPr>
        <w:t>能正常开展日常工作后方可离场。</w:t>
      </w:r>
    </w:p>
    <w:p w14:paraId="2B8F54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8、技术资料：</w:t>
      </w:r>
    </w:p>
    <w:p w14:paraId="6D1FA96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8.1、中标人应于验收后向用户提供验收报告、技术文档的归纳、整理、提交，并提供完整的货物技术资料。</w:t>
      </w:r>
    </w:p>
    <w:p w14:paraId="1A1661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8.2、技术文件：包括验收报告、技术文档、完整的货物技术资料。</w:t>
      </w:r>
    </w:p>
    <w:p w14:paraId="782395D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9、质量监督措施：</w:t>
      </w:r>
    </w:p>
    <w:p w14:paraId="706D31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9.1、质量验收：维护项目完成后，由采购人项目负责人组织监理单位、中标人项目负责人对照施工技术标准进行联合验收，形成验收档案。</w:t>
      </w:r>
    </w:p>
    <w:p w14:paraId="44366C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9.2、质量保修期：本项目属安装工程，在正常使用情况下，从维护工程实际竣工并经验收合格之日算起，质量保修期为一年。</w:t>
      </w:r>
    </w:p>
    <w:p w14:paraId="5573E08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10、验评标准和规范：</w:t>
      </w:r>
    </w:p>
    <w:p w14:paraId="3AD3379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10.1、采购人每月下旬按</w:t>
      </w:r>
      <w:r>
        <w:rPr>
          <w:rFonts w:hint="eastAsia" w:ascii="宋体" w:hAnsi="宋体" w:cs="宋体"/>
          <w:color w:val="auto"/>
          <w:sz w:val="21"/>
          <w:highlight w:val="none"/>
          <w:lang w:eastAsia="zh-CN"/>
        </w:rPr>
        <w:t>“民众街道市政基础设施电线电路、变压器维护管理评分细则”</w:t>
      </w:r>
      <w:r>
        <w:rPr>
          <w:rFonts w:hint="eastAsia" w:ascii="宋体" w:hAnsi="宋体" w:eastAsia="宋体" w:cs="宋体"/>
          <w:color w:val="auto"/>
          <w:sz w:val="21"/>
          <w:highlight w:val="none"/>
        </w:rPr>
        <w:t>现场考核中标人，评定中标人当月得分，每月得分作为中标人向采购人申请维护费用的依据。若中标人在每个年度管养期届满时的年度考核评审达标，则可以继续下一年度维护管养合同。详见附件3：</w:t>
      </w:r>
      <w:r>
        <w:rPr>
          <w:rFonts w:hint="eastAsia" w:ascii="宋体" w:hAnsi="宋体" w:cs="宋体"/>
          <w:color w:val="auto"/>
          <w:sz w:val="21"/>
          <w:highlight w:val="none"/>
          <w:lang w:eastAsia="zh-CN"/>
        </w:rPr>
        <w:t>“民众街道市政基础设施电线电路、变压器维护管理评分细则”</w:t>
      </w:r>
      <w:r>
        <w:rPr>
          <w:rFonts w:hint="eastAsia" w:ascii="宋体" w:hAnsi="宋体" w:eastAsia="宋体" w:cs="宋体"/>
          <w:color w:val="auto"/>
          <w:sz w:val="21"/>
          <w:highlight w:val="none"/>
        </w:rPr>
        <w:t>。</w:t>
      </w:r>
    </w:p>
    <w:p w14:paraId="09048A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10.2、维保作业验收及考核：</w:t>
      </w:r>
    </w:p>
    <w:p w14:paraId="4F4D2FF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（1）月度评分达90分（含90分）者视为合格，不扣除该月维护费；</w:t>
      </w:r>
    </w:p>
    <w:p w14:paraId="4E6D42C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（2）得分85（含85分）-90分者，与90分相减每差0.5分则扣减该月管养费的0.5%；</w:t>
      </w:r>
    </w:p>
    <w:p w14:paraId="16EB05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（3）得分80（含80分）-85分者，与90分相减每差0.5分则扣减该月管养费的1%；</w:t>
      </w:r>
    </w:p>
    <w:p w14:paraId="6E12BD6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（4）得分80分以下，与90分相减每差0.5分则扣减该月管养费的2%。</w:t>
      </w:r>
    </w:p>
    <w:p w14:paraId="506AC518">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lang w:eastAsia="zh-CN"/>
        </w:rPr>
      </w:pPr>
    </w:p>
    <w:p w14:paraId="69F5433B">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附件清单：（另附）</w:t>
      </w:r>
    </w:p>
    <w:p w14:paraId="7E69838A">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附件1：市政设施维护管养服务扣罚和评分标准</w:t>
      </w:r>
    </w:p>
    <w:p w14:paraId="693A2617">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附件2：</w:t>
      </w:r>
      <w:r>
        <w:rPr>
          <w:rFonts w:hint="eastAsia" w:ascii="宋体" w:hAnsi="宋体" w:cs="宋体"/>
          <w:color w:val="auto"/>
          <w:sz w:val="21"/>
          <w:highlight w:val="none"/>
          <w:lang w:eastAsia="zh-CN"/>
        </w:rPr>
        <w:t>民众街道市政基础设施电线电路、变压器相关信息明细表</w:t>
      </w:r>
    </w:p>
    <w:p w14:paraId="79DD8FC0">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附件3：</w:t>
      </w:r>
      <w:r>
        <w:rPr>
          <w:rFonts w:hint="eastAsia" w:ascii="宋体" w:hAnsi="宋体" w:cs="宋体"/>
          <w:color w:val="auto"/>
          <w:sz w:val="21"/>
          <w:highlight w:val="none"/>
          <w:lang w:eastAsia="zh-CN"/>
        </w:rPr>
        <w:t>民众街道市政基础设施电线电路、变压器维护管理评分细则</w:t>
      </w:r>
    </w:p>
    <w:p w14:paraId="4CA0F55E">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附件</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val="en-US" w:eastAsia="zh-CN"/>
        </w:rPr>
        <w:t>：民众街道市政道路设施管养统计表</w:t>
      </w:r>
    </w:p>
    <w:p w14:paraId="048969CD">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附件5：民众街道69座桥病害汇总</w:t>
      </w:r>
    </w:p>
    <w:p w14:paraId="3C2C1F3F">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lang w:eastAsia="zh-CN"/>
        </w:rPr>
      </w:pPr>
    </w:p>
    <w:p w14:paraId="0BA06452">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采购包1（</w:t>
      </w:r>
      <w:r>
        <w:rPr>
          <w:rFonts w:hint="eastAsia" w:ascii="宋体" w:hAnsi="宋体" w:cs="宋体"/>
          <w:color w:val="auto"/>
          <w:highlight w:val="none"/>
          <w:lang w:eastAsia="zh-CN"/>
        </w:rPr>
        <w:t>民众街道2026年至2029年度市政设施维护管养项目</w:t>
      </w:r>
      <w:r>
        <w:rPr>
          <w:rFonts w:hint="eastAsia" w:ascii="宋体" w:hAnsi="宋体" w:eastAsia="宋体" w:cs="宋体"/>
          <w:color w:val="auto"/>
          <w:highlight w:val="none"/>
        </w:rPr>
        <w:t>）</w:t>
      </w:r>
      <w:r>
        <w:rPr>
          <w:rFonts w:hint="eastAsia" w:ascii="宋体" w:hAnsi="宋体" w:eastAsia="宋体" w:cs="宋体"/>
          <w:b/>
          <w:color w:val="auto"/>
          <w:highlight w:val="none"/>
        </w:rPr>
        <w:t>1.主要商务要求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4"/>
        <w:gridCol w:w="7228"/>
      </w:tblGrid>
      <w:tr w14:paraId="1C1D86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4" w:type="dxa"/>
          </w:tcPr>
          <w:p w14:paraId="01C8E52A">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标的提供的时间</w:t>
            </w:r>
          </w:p>
        </w:tc>
        <w:tc>
          <w:tcPr>
            <w:tcW w:w="7228" w:type="dxa"/>
          </w:tcPr>
          <w:p w14:paraId="4F739393">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自合同签订之日起三年（2026年09月01日至2029年08月31日）。服务期限结束或合同累计金额达本项目预算金额，则合同终止。（按先达到的为准）</w:t>
            </w:r>
          </w:p>
        </w:tc>
      </w:tr>
      <w:tr w14:paraId="3972E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4" w:type="dxa"/>
          </w:tcPr>
          <w:p w14:paraId="5446E3BC">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标的提供的地点</w:t>
            </w:r>
          </w:p>
        </w:tc>
        <w:tc>
          <w:tcPr>
            <w:tcW w:w="7228" w:type="dxa"/>
          </w:tcPr>
          <w:p w14:paraId="5DF2E57A">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采购人指定地点。</w:t>
            </w:r>
          </w:p>
        </w:tc>
      </w:tr>
      <w:tr w14:paraId="13F0E9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94" w:type="dxa"/>
          </w:tcPr>
          <w:p w14:paraId="54ECB8F6">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付款方式</w:t>
            </w:r>
          </w:p>
        </w:tc>
        <w:tc>
          <w:tcPr>
            <w:tcW w:w="7228" w:type="dxa"/>
          </w:tcPr>
          <w:p w14:paraId="74AB026B">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1期：支付比例100%,</w:t>
            </w:r>
          </w:p>
          <w:p w14:paraId="73F84A25">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造价部门按《建设工程工程量清单计价规范》、《广东省建设工程计价通则》、《广东省市政工程综合定额》、《广东省安装工程综合定额》、《广东省市政修缮工程综合定额》、《广东省安装修缮工程综合定额》等最新计价规定的收费标准（材料和人工按作业同期造价部门公布的最新信息价，信息价中没有的材料参照周边城市的信息价及市场价计取。）及每</w:t>
            </w:r>
            <w:r>
              <w:rPr>
                <w:rFonts w:hint="eastAsia" w:ascii="宋体" w:hAnsi="宋体" w:cs="宋体"/>
                <w:color w:val="auto"/>
                <w:highlight w:val="none"/>
                <w:lang w:val="en-US" w:eastAsia="zh-CN"/>
              </w:rPr>
              <w:t>月</w:t>
            </w:r>
            <w:r>
              <w:rPr>
                <w:rFonts w:hint="eastAsia" w:ascii="宋体" w:hAnsi="宋体" w:eastAsia="宋体" w:cs="宋体"/>
                <w:color w:val="auto"/>
                <w:highlight w:val="none"/>
              </w:rPr>
              <w:t>实际发生的维护和管养工作量计算所得费用乘以中标折扣率为当</w:t>
            </w:r>
            <w:r>
              <w:rPr>
                <w:rFonts w:hint="eastAsia" w:ascii="宋体" w:hAnsi="宋体" w:cs="宋体"/>
                <w:color w:val="auto"/>
                <w:highlight w:val="none"/>
                <w:lang w:val="en-US" w:eastAsia="zh-CN"/>
              </w:rPr>
              <w:t>月结算</w:t>
            </w:r>
            <w:r>
              <w:rPr>
                <w:rFonts w:hint="eastAsia" w:ascii="宋体" w:hAnsi="宋体" w:eastAsia="宋体" w:cs="宋体"/>
                <w:color w:val="auto"/>
                <w:highlight w:val="none"/>
              </w:rPr>
              <w:t>金额。即当</w:t>
            </w:r>
            <w:r>
              <w:rPr>
                <w:rFonts w:hint="eastAsia" w:ascii="宋体" w:hAnsi="宋体" w:cs="宋体"/>
                <w:color w:val="auto"/>
                <w:highlight w:val="none"/>
                <w:lang w:val="en-US" w:eastAsia="zh-CN"/>
              </w:rPr>
              <w:t>月</w:t>
            </w:r>
            <w:r>
              <w:rPr>
                <w:rFonts w:hint="eastAsia" w:ascii="宋体" w:hAnsi="宋体" w:eastAsia="宋体" w:cs="宋体"/>
                <w:color w:val="auto"/>
                <w:highlight w:val="none"/>
              </w:rPr>
              <w:t>作业</w:t>
            </w:r>
            <w:r>
              <w:rPr>
                <w:rFonts w:hint="eastAsia" w:ascii="宋体" w:hAnsi="宋体" w:eastAsia="宋体" w:cs="宋体"/>
                <w:color w:val="auto"/>
                <w:highlight w:val="none"/>
                <w:lang w:val="en-US" w:eastAsia="zh-CN"/>
              </w:rPr>
              <w:t>结算</w:t>
            </w:r>
            <w:r>
              <w:rPr>
                <w:rFonts w:hint="eastAsia" w:ascii="宋体" w:hAnsi="宋体" w:eastAsia="宋体" w:cs="宋体"/>
                <w:color w:val="auto"/>
                <w:highlight w:val="none"/>
              </w:rPr>
              <w:t>金额=造价部门计算所得费用×中标折扣率。例如造价部门计算所得费用为10000元，中标折扣率为80%，即当</w:t>
            </w:r>
            <w:r>
              <w:rPr>
                <w:rFonts w:hint="eastAsia" w:ascii="宋体" w:hAnsi="宋体" w:cs="宋体"/>
                <w:color w:val="auto"/>
                <w:highlight w:val="none"/>
                <w:lang w:val="en-US" w:eastAsia="zh-CN"/>
              </w:rPr>
              <w:t>月</w:t>
            </w:r>
            <w:r>
              <w:rPr>
                <w:rFonts w:hint="eastAsia" w:ascii="宋体" w:hAnsi="宋体" w:eastAsia="宋体" w:cs="宋体"/>
                <w:color w:val="auto"/>
                <w:highlight w:val="none"/>
              </w:rPr>
              <w:t>实际</w:t>
            </w:r>
            <w:r>
              <w:rPr>
                <w:rFonts w:hint="eastAsia" w:ascii="宋体" w:hAnsi="宋体" w:cs="宋体"/>
                <w:color w:val="auto"/>
                <w:highlight w:val="none"/>
                <w:lang w:val="en-US" w:eastAsia="zh-CN"/>
              </w:rPr>
              <w:t>结算</w:t>
            </w:r>
            <w:r>
              <w:rPr>
                <w:rFonts w:hint="eastAsia" w:ascii="宋体" w:hAnsi="宋体" w:eastAsia="宋体" w:cs="宋体"/>
                <w:color w:val="auto"/>
                <w:highlight w:val="none"/>
              </w:rPr>
              <w:t xml:space="preserve">金额=10000×80%=8,000.00元（按四舍五入规则，保留两位小数计算）。最终维护管养费用以区财政局的审核价为终审价。 </w:t>
            </w:r>
          </w:p>
          <w:p w14:paraId="11F4A2A4">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2、维护工程按每</w:t>
            </w:r>
            <w:r>
              <w:rPr>
                <w:rFonts w:hint="eastAsia" w:ascii="宋体" w:hAnsi="宋体" w:cs="宋体"/>
                <w:color w:val="auto"/>
                <w:highlight w:val="none"/>
                <w:lang w:val="en-US" w:eastAsia="zh-CN"/>
              </w:rPr>
              <w:t>月</w:t>
            </w:r>
            <w:r>
              <w:rPr>
                <w:rFonts w:hint="eastAsia" w:ascii="宋体" w:hAnsi="宋体" w:eastAsia="宋体" w:cs="宋体"/>
                <w:color w:val="auto"/>
                <w:highlight w:val="none"/>
              </w:rPr>
              <w:t>完成工程量及每</w:t>
            </w:r>
            <w:r>
              <w:rPr>
                <w:rFonts w:hint="eastAsia" w:ascii="宋体" w:hAnsi="宋体" w:cs="宋体"/>
                <w:color w:val="auto"/>
                <w:highlight w:val="none"/>
                <w:lang w:val="en-US" w:eastAsia="zh-CN"/>
              </w:rPr>
              <w:t>月</w:t>
            </w:r>
            <w:r>
              <w:rPr>
                <w:rFonts w:hint="eastAsia" w:ascii="宋体" w:hAnsi="宋体" w:eastAsia="宋体" w:cs="宋体"/>
                <w:color w:val="auto"/>
                <w:highlight w:val="none"/>
                <w:lang w:val="en-US" w:eastAsia="zh-CN"/>
              </w:rPr>
              <w:t>考核</w:t>
            </w:r>
            <w:r>
              <w:rPr>
                <w:rFonts w:hint="eastAsia" w:ascii="宋体" w:hAnsi="宋体" w:eastAsia="宋体" w:cs="宋体"/>
                <w:color w:val="auto"/>
                <w:highlight w:val="none"/>
              </w:rPr>
              <w:t>情况支付维护工程进度款。</w:t>
            </w:r>
            <w:r>
              <w:rPr>
                <w:rFonts w:hint="eastAsia"/>
                <w:color w:val="auto"/>
                <w:highlight w:val="none"/>
              </w:rPr>
              <w:t>在管养作业承包期最后2个月，采购人将暂停作业费的支付，待中标人将受托管养的</w:t>
            </w:r>
            <w:r>
              <w:rPr>
                <w:rFonts w:hint="eastAsia"/>
                <w:color w:val="auto"/>
                <w:highlight w:val="none"/>
                <w:lang w:val="en-US" w:eastAsia="zh-CN"/>
              </w:rPr>
              <w:t>市政设施</w:t>
            </w:r>
            <w:r>
              <w:rPr>
                <w:rFonts w:hint="eastAsia"/>
                <w:color w:val="auto"/>
                <w:highlight w:val="none"/>
              </w:rPr>
              <w:t>、配套设施及其有关资料全部移交采购人，并完成新旧中标人交接工作及处理好员工遣散问题后，采购人扣除应扣费用（包括但不限于日常扣罚、月</w:t>
            </w:r>
            <w:r>
              <w:rPr>
                <w:rFonts w:hint="eastAsia"/>
                <w:color w:val="auto"/>
                <w:highlight w:val="none"/>
                <w:lang w:val="en-US" w:eastAsia="zh-CN"/>
              </w:rPr>
              <w:t>度</w:t>
            </w:r>
            <w:r>
              <w:rPr>
                <w:rFonts w:hint="eastAsia"/>
                <w:color w:val="auto"/>
                <w:highlight w:val="none"/>
              </w:rPr>
              <w:t>验收扣罚、中标人须支付给采购人的损失赔偿等费用）后一次性无息支付剩余费用给中标人。</w:t>
            </w:r>
            <w:r>
              <w:rPr>
                <w:rFonts w:hint="eastAsia" w:ascii="宋体" w:hAnsi="宋体" w:eastAsia="宋体" w:cs="宋体"/>
                <w:color w:val="auto"/>
                <w:highlight w:val="none"/>
              </w:rPr>
              <w:t xml:space="preserve"> </w:t>
            </w:r>
          </w:p>
          <w:p w14:paraId="4E912EBF">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3、本项目总预算为22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575</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600</w:t>
            </w:r>
            <w:r>
              <w:rPr>
                <w:rFonts w:hint="eastAsia" w:ascii="宋体" w:hAnsi="宋体" w:eastAsia="宋体" w:cs="宋体"/>
                <w:color w:val="auto"/>
                <w:highlight w:val="none"/>
                <w:lang w:val="en-US" w:eastAsia="zh-CN"/>
              </w:rPr>
              <w:t>.00</w:t>
            </w:r>
            <w:r>
              <w:rPr>
                <w:rFonts w:hint="eastAsia" w:ascii="宋体" w:hAnsi="宋体" w:eastAsia="宋体" w:cs="宋体"/>
                <w:color w:val="auto"/>
                <w:highlight w:val="none"/>
              </w:rPr>
              <w:t>元，合同履行期限为三年，年均维护费为7,525,200</w:t>
            </w:r>
            <w:r>
              <w:rPr>
                <w:rFonts w:hint="eastAsia" w:ascii="宋体" w:hAnsi="宋体" w:eastAsia="宋体" w:cs="宋体"/>
                <w:color w:val="auto"/>
                <w:highlight w:val="none"/>
                <w:lang w:val="en-US" w:eastAsia="zh-CN"/>
              </w:rPr>
              <w:t>.00</w:t>
            </w:r>
            <w:r>
              <w:rPr>
                <w:rFonts w:hint="eastAsia" w:ascii="宋体" w:hAnsi="宋体" w:eastAsia="宋体" w:cs="宋体"/>
                <w:color w:val="auto"/>
                <w:highlight w:val="none"/>
              </w:rPr>
              <w:t xml:space="preserve">元，采购人有权对每年的维护预算进行调整。 </w:t>
            </w:r>
          </w:p>
          <w:p w14:paraId="57124679">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4、预留年均维护费的10%作为应急经费</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该经费也可联同考核扣减经费，由采购人应急抢修项目使用或用作对中标人进行结算审核中使用</w:t>
            </w:r>
            <w:r>
              <w:rPr>
                <w:rFonts w:hint="eastAsia" w:ascii="宋体" w:hAnsi="宋体" w:eastAsia="宋体" w:cs="宋体"/>
                <w:color w:val="auto"/>
                <w:highlight w:val="none"/>
              </w:rPr>
              <w:t>。</w:t>
            </w:r>
          </w:p>
          <w:p w14:paraId="018D12BF">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sz w:val="21"/>
                <w:szCs w:val="21"/>
                <w:highlight w:val="none"/>
              </w:rPr>
              <w:t>因采购人使用的资金均由中山市火炬开发区财政拨款，需政府审批同意后支付。采购人在约定的付款时间为向政府采购支付部门提出办理财政支付申请手续的时间（不含政府财政支付部门审核的时间），在规定时间内提出支付申请手续后，不视为逾期支付。如因政策的影响使拨款未能及时到位，</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不得以此为由而不履行（或不完全履行）项目合同规定的义务</w:t>
            </w:r>
            <w:r>
              <w:rPr>
                <w:rFonts w:hint="eastAsia" w:ascii="宋体" w:hAnsi="宋体" w:eastAsia="宋体" w:cs="宋体"/>
                <w:color w:val="auto"/>
                <w:sz w:val="21"/>
                <w:szCs w:val="21"/>
                <w:highlight w:val="none"/>
                <w:lang w:val="en-US" w:eastAsia="zh-CN"/>
              </w:rPr>
              <w:t>以及不按时支付工人工资款项</w:t>
            </w:r>
            <w:r>
              <w:rPr>
                <w:rFonts w:hint="eastAsia" w:ascii="宋体" w:hAnsi="宋体" w:eastAsia="宋体" w:cs="宋体"/>
                <w:color w:val="auto"/>
                <w:sz w:val="21"/>
                <w:szCs w:val="21"/>
                <w:highlight w:val="none"/>
              </w:rPr>
              <w:t>。</w:t>
            </w:r>
          </w:p>
          <w:p w14:paraId="76FB9D5A">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6、中标人为中小企业时执行：</w:t>
            </w:r>
          </w:p>
          <w:p w14:paraId="3E9A0D15">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（1）预付款：按照中小企业有关的法律法规和政策执行。</w:t>
            </w:r>
          </w:p>
          <w:p w14:paraId="772E31C2">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（2）服务费用在预付款中进行抵扣，直至预付款抵扣完毕后再开始支付后续合同款。</w:t>
            </w:r>
          </w:p>
          <w:p w14:paraId="1D989E1B">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（3）根据《保障中小企业款项支付条例》规定，从中小企业采购货物、工程、服务，应当自货物、工程、服务交付之日起30日内支付款项:合同另有约定的，从其约定，但付款期限最长不得超过60日。</w:t>
            </w:r>
          </w:p>
          <w:p w14:paraId="6F2ED280">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如项目发生合同融资，采购人应当将合同款项支付到合同约定收款账户。</w:t>
            </w:r>
          </w:p>
        </w:tc>
      </w:tr>
      <w:tr w14:paraId="594EB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4" w:type="dxa"/>
          </w:tcPr>
          <w:p w14:paraId="0E31A50B">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验收要求</w:t>
            </w:r>
          </w:p>
        </w:tc>
        <w:tc>
          <w:tcPr>
            <w:tcW w:w="7228" w:type="dxa"/>
          </w:tcPr>
          <w:p w14:paraId="2EF51F68">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1期：按采购文件及相关法律法规要求执行。</w:t>
            </w:r>
          </w:p>
        </w:tc>
      </w:tr>
      <w:tr w14:paraId="78C02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4" w:type="dxa"/>
          </w:tcPr>
          <w:p w14:paraId="2850DF64">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履约保证金</w:t>
            </w:r>
          </w:p>
        </w:tc>
        <w:tc>
          <w:tcPr>
            <w:tcW w:w="7228" w:type="dxa"/>
          </w:tcPr>
          <w:p w14:paraId="3C63ED1F">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交纳比例：10%</w:t>
            </w:r>
          </w:p>
          <w:p w14:paraId="7E555065">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缴费渠道：电子保函（保险）、支票（本票、汇票）、其他</w:t>
            </w:r>
          </w:p>
          <w:p w14:paraId="34E8B92A">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账号：</w:t>
            </w:r>
            <w:r>
              <w:rPr>
                <w:rFonts w:hint="eastAsia" w:ascii="宋体" w:hAnsi="宋体" w:cs="宋体"/>
                <w:color w:val="auto"/>
                <w:highlight w:val="none"/>
                <w:lang w:val="en-US" w:eastAsia="zh-CN"/>
              </w:rPr>
              <w:t>/</w:t>
            </w:r>
          </w:p>
          <w:p w14:paraId="5C912FFE">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户名：</w:t>
            </w:r>
            <w:r>
              <w:rPr>
                <w:rFonts w:hint="eastAsia" w:ascii="宋体" w:hAnsi="宋体" w:cs="宋体"/>
                <w:color w:val="auto"/>
                <w:highlight w:val="none"/>
                <w:lang w:val="en-US" w:eastAsia="zh-CN"/>
              </w:rPr>
              <w:t>/</w:t>
            </w:r>
          </w:p>
          <w:p w14:paraId="5F09158C">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开户行：</w:t>
            </w:r>
            <w:r>
              <w:rPr>
                <w:rFonts w:hint="eastAsia" w:ascii="宋体" w:hAnsi="宋体" w:cs="宋体"/>
                <w:color w:val="auto"/>
                <w:highlight w:val="none"/>
                <w:lang w:val="en-US" w:eastAsia="zh-CN"/>
              </w:rPr>
              <w:t>/</w:t>
            </w:r>
          </w:p>
          <w:p w14:paraId="1EEBD6EA">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支票提交方式：线下递交</w:t>
            </w:r>
          </w:p>
          <w:p w14:paraId="7F0D4F60">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汇票、本票提交方式：线下递交</w:t>
            </w:r>
          </w:p>
          <w:p w14:paraId="7503CA6B">
            <w:pPr>
              <w:keepNext w:val="0"/>
              <w:keepLines w:val="0"/>
              <w:pageBreakBefore w:val="0"/>
              <w:kinsoku/>
              <w:wordWrap w:val="0"/>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说明：1、</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确定中标并与采购人签订合同后15个工作日内，采用支票（本票、汇票）或者由金融机构、担保机构</w:t>
            </w:r>
            <w:r>
              <w:rPr>
                <w:rFonts w:hint="eastAsia" w:ascii="宋体" w:hAnsi="宋体" w:cs="宋体"/>
                <w:color w:val="auto"/>
                <w:highlight w:val="none"/>
                <w:lang w:eastAsia="zh-CN"/>
              </w:rPr>
              <w:t>（</w:t>
            </w:r>
            <w:r>
              <w:rPr>
                <w:rFonts w:hint="eastAsia" w:ascii="宋体" w:hAnsi="宋体" w:eastAsia="宋体" w:cs="宋体"/>
                <w:color w:val="auto"/>
                <w:sz w:val="21"/>
                <w:szCs w:val="24"/>
                <w:highlight w:val="none"/>
                <w:lang w:val="en-US" w:eastAsia="zh-CN"/>
              </w:rPr>
              <w:t>保函出具机构原则上应在采购人所在城市范围内且有实体营业点</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highlight w:val="none"/>
              </w:rPr>
              <w:t>出具不可撤销、无条件（见索即付）的履约保函形式（不计息）向采购人提交履约保证金（按合同金额的10%，</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为中小企业的按合同金额的5%）。如发生违约，采购人可从履约保证金中扣除，于合同期满或合同终止后结算。2、在</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履行完合同约定权利义务事项后，采购人将在30天内把履约保证金无息全额退还给</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。3、履约保函有效期至少到项目验收合格后；如保函期限届满前30天内，项目还未完成，</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应立即向保函出具单位申请延续保函期限，延续期限不少于6个月。</w:t>
            </w:r>
          </w:p>
          <w:p w14:paraId="5E7531D4">
            <w:pPr>
              <w:keepNext w:val="0"/>
              <w:keepLines w:val="0"/>
              <w:pageBreakBefore w:val="0"/>
              <w:kinsoku/>
              <w:wordWrap w:val="0"/>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履约保证金可以以履约保函（保险）形式提供，目前"广东政府采购智慧云平台金融服务中心(https://gdgpo.czt.gd.gov.cn/zcdservice/zcd/guangdong/)已实现电子履约保函（保险）在线办理功能，有意愿</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可自行办理提供。</w:t>
            </w:r>
          </w:p>
        </w:tc>
      </w:tr>
      <w:tr w14:paraId="1559C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4" w:type="dxa"/>
          </w:tcPr>
          <w:p w14:paraId="015FAA0E">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w:t>
            </w:r>
          </w:p>
        </w:tc>
        <w:tc>
          <w:tcPr>
            <w:tcW w:w="7228" w:type="dxa"/>
          </w:tcPr>
          <w:p w14:paraId="6E69595B">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其他，★1、本项目经采购人确认后允许分包。 </w:t>
            </w:r>
          </w:p>
          <w:p w14:paraId="12B40160">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（1）允许分包范围：市政公用变压器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市政基础设施电路</w:t>
            </w:r>
            <w:r>
              <w:rPr>
                <w:rFonts w:hint="eastAsia" w:ascii="宋体" w:hAnsi="宋体" w:eastAsia="宋体" w:cs="宋体"/>
                <w:color w:val="auto"/>
                <w:highlight w:val="none"/>
              </w:rPr>
              <w:t>设施维护</w:t>
            </w:r>
            <w:r>
              <w:rPr>
                <w:rFonts w:hint="eastAsia" w:ascii="宋体" w:hAnsi="宋体" w:eastAsia="宋体" w:cs="宋体"/>
                <w:color w:val="auto"/>
                <w:highlight w:val="none"/>
                <w:lang w:val="en-US" w:eastAsia="zh-CN"/>
              </w:rPr>
              <w:t>、消防栓设施维护</w:t>
            </w:r>
            <w:r>
              <w:rPr>
                <w:rFonts w:hint="eastAsia" w:ascii="宋体" w:hAnsi="宋体" w:eastAsia="宋体" w:cs="宋体"/>
                <w:color w:val="auto"/>
                <w:highlight w:val="none"/>
              </w:rPr>
              <w:t>管养部分允许分包。除该部分外，其它维护内容不得分包。</w:t>
            </w:r>
          </w:p>
          <w:p w14:paraId="508A0B51">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市政公用变压器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市政基础设施电路</w:t>
            </w:r>
            <w:r>
              <w:rPr>
                <w:rFonts w:hint="eastAsia" w:ascii="宋体" w:hAnsi="宋体" w:eastAsia="宋体" w:cs="宋体"/>
                <w:color w:val="auto"/>
                <w:highlight w:val="none"/>
              </w:rPr>
              <w:t>设施维护单位需同时具备以下资质：①【电力工程施工总承包叁级或以上资质】或【输变电工程专业承包叁级或以上资质】，并具有有效的的安全生产许可证；②具备国家电力监管委员会颁发的承装（修、试）电力设施许可证（类别：承装类、承修类、承试类）</w:t>
            </w: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级或以上资质；③南方电网公司或广东电网公司的资信备案证明。</w:t>
            </w:r>
          </w:p>
          <w:p w14:paraId="778A227F">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2）消防栓设施维护需按照《中山市消火栓管理办法的通知》[中府办(2024)2号]文件要求并满足采购人要求，分包给具备相关专业的单位负责。</w:t>
            </w:r>
            <w:r>
              <w:rPr>
                <w:rFonts w:hint="eastAsia" w:ascii="宋体" w:hAnsi="宋体" w:eastAsia="宋体" w:cs="宋体"/>
                <w:color w:val="auto"/>
                <w:highlight w:val="none"/>
              </w:rPr>
              <w:t xml:space="preserve">  </w:t>
            </w:r>
          </w:p>
          <w:p w14:paraId="27C87F02">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如中标人无市政公用变压器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市政基础设施电路</w:t>
            </w:r>
            <w:r>
              <w:rPr>
                <w:rFonts w:hint="eastAsia" w:ascii="宋体" w:hAnsi="宋体" w:eastAsia="宋体" w:cs="宋体"/>
                <w:color w:val="auto"/>
                <w:highlight w:val="none"/>
              </w:rPr>
              <w:t>设施维护</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上述相应资质，可分包给具有相应资质的单位实施（需要经过采购人同意，相关资质证书、安全生产许可证及拟派人员证件须交由采购人查验，并保障在服务期内相关证件有效）。如中标人不具备相应资质，又未按要求分包，采购人则有权从中标人的工作内容中扣除此项业务，同时采购人有权从中标人的进度款中扣减该分项中标价2%的费用，作为违约金。</w:t>
            </w:r>
          </w:p>
          <w:p w14:paraId="1D723955">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（3）无论何种原因，当本合同终止时，分包人与中标人签订的分包合同也随即终止。  </w:t>
            </w:r>
          </w:p>
          <w:p w14:paraId="1BD28C35">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（4）中标人若将市政公用变压器设施</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市政基础设施电路设施维护、消防栓</w:t>
            </w:r>
            <w:r>
              <w:rPr>
                <w:rFonts w:hint="eastAsia" w:ascii="宋体" w:hAnsi="宋体" w:eastAsia="宋体" w:cs="宋体"/>
                <w:color w:val="auto"/>
                <w:highlight w:val="none"/>
              </w:rPr>
              <w:t xml:space="preserve">维护管养分包其他单位的，应当承担向其按时足额支付服务款项的责任，采购人不接受分包单位的任何付款请求。中标人与分包单位之间因分包合同引起的纠纷均由中标人独立解决，与采购人无关。 </w:t>
            </w:r>
          </w:p>
          <w:p w14:paraId="21AF1CD8">
            <w:pPr>
              <w:keepNext w:val="0"/>
              <w:keepLines w:val="0"/>
              <w:pageBreakBefore w:val="0"/>
              <w:numPr>
                <w:ilvl w:val="0"/>
                <w:numId w:val="0"/>
              </w:numPr>
              <w:kinsoku/>
              <w:overflowPunct/>
              <w:topLinePunct w:val="0"/>
              <w:autoSpaceDE/>
              <w:autoSpaceDN/>
              <w:bidi w:val="0"/>
              <w:adjustRightInd/>
              <w:snapToGrid/>
              <w:spacing w:line="240" w:lineRule="auto"/>
              <w:ind w:firstLine="211" w:firstLineChars="1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★2、如投标人在中山市</w:t>
            </w:r>
            <w:r>
              <w:rPr>
                <w:rFonts w:hint="eastAsia" w:ascii="宋体" w:hAnsi="宋体" w:eastAsia="宋体" w:cs="宋体"/>
                <w:b/>
                <w:bCs/>
                <w:color w:val="auto"/>
                <w:highlight w:val="none"/>
                <w:lang w:val="en-US" w:eastAsia="zh-CN"/>
              </w:rPr>
              <w:t>民众街道</w:t>
            </w:r>
            <w:r>
              <w:rPr>
                <w:rFonts w:hint="eastAsia" w:ascii="宋体" w:hAnsi="宋体" w:eastAsia="宋体" w:cs="宋体"/>
                <w:b/>
                <w:bCs/>
                <w:color w:val="auto"/>
                <w:highlight w:val="none"/>
              </w:rPr>
              <w:t>未设有常驻服务机构，须承诺中标后1个月内在中山市</w:t>
            </w:r>
            <w:r>
              <w:rPr>
                <w:rFonts w:hint="eastAsia" w:ascii="宋体" w:hAnsi="宋体" w:eastAsia="宋体" w:cs="宋体"/>
                <w:b/>
                <w:bCs/>
                <w:color w:val="auto"/>
                <w:highlight w:val="none"/>
                <w:lang w:val="en-US" w:eastAsia="zh-CN"/>
              </w:rPr>
              <w:t>民众街道</w:t>
            </w:r>
            <w:r>
              <w:rPr>
                <w:rFonts w:hint="eastAsia" w:ascii="宋体" w:hAnsi="宋体" w:eastAsia="宋体" w:cs="宋体"/>
                <w:b/>
                <w:bCs/>
                <w:color w:val="auto"/>
                <w:highlight w:val="none"/>
              </w:rPr>
              <w:t>设立常驻机构。并于合同签订前向采购人提供常驻服务机构的房产证（投标人名下）或经建设（房地产）主管部门备案的租赁合同或工商登记证明等证明资料。</w:t>
            </w:r>
            <w:r>
              <w:rPr>
                <w:rFonts w:hint="eastAsia" w:ascii="宋体" w:hAnsi="宋体" w:cs="宋体"/>
                <w:b/>
                <w:bCs/>
                <w:color w:val="auto"/>
                <w:highlight w:val="none"/>
                <w:lang w:eastAsia="zh-CN"/>
              </w:rPr>
              <w:t>（投标时在相关响应表中作出响应或提供承诺书并加盖公章视为满足采购需求。）</w:t>
            </w:r>
            <w:r>
              <w:rPr>
                <w:rFonts w:hint="eastAsia" w:ascii="宋体" w:hAnsi="宋体" w:eastAsia="宋体" w:cs="宋体"/>
                <w:b/>
                <w:bCs/>
                <w:color w:val="auto"/>
                <w:highlight w:val="none"/>
              </w:rPr>
              <w:t xml:space="preserve"> </w:t>
            </w:r>
          </w:p>
          <w:p w14:paraId="6A25C227">
            <w:pPr>
              <w:keepNext w:val="0"/>
              <w:keepLines w:val="0"/>
              <w:pageBreakBefore w:val="0"/>
              <w:numPr>
                <w:ilvl w:val="0"/>
                <w:numId w:val="0"/>
              </w:numPr>
              <w:kinsoku/>
              <w:overflowPunct/>
              <w:topLinePunct w:val="0"/>
              <w:autoSpaceDE/>
              <w:autoSpaceDN/>
              <w:bidi w:val="0"/>
              <w:adjustRightInd/>
              <w:snapToGrid/>
              <w:spacing w:line="240" w:lineRule="auto"/>
              <w:ind w:firstLine="211" w:firstLineChars="100"/>
              <w:textAlignment w:val="auto"/>
              <w:rPr>
                <w:rFonts w:hint="eastAsia" w:ascii="宋体" w:hAnsi="宋体" w:eastAsia="宋体" w:cs="宋体"/>
                <w:color w:val="auto"/>
                <w:highlight w:val="none"/>
              </w:rPr>
            </w:pPr>
            <w:r>
              <w:rPr>
                <w:rFonts w:hint="eastAsia" w:ascii="宋体" w:hAnsi="宋体" w:eastAsia="宋体" w:cs="宋体"/>
                <w:b/>
                <w:bCs/>
                <w:color w:val="auto"/>
                <w:highlight w:val="none"/>
              </w:rPr>
              <w:t>★3、投标人须承诺中标后需提供保管场所，用于存放本项目更换产生的物资，并建立相关台账。</w:t>
            </w:r>
            <w:r>
              <w:rPr>
                <w:rFonts w:hint="eastAsia" w:ascii="宋体" w:hAnsi="宋体" w:cs="宋体"/>
                <w:b/>
                <w:bCs/>
                <w:color w:val="auto"/>
                <w:highlight w:val="none"/>
                <w:lang w:eastAsia="zh-CN"/>
              </w:rPr>
              <w:t>（投标时在相关响应表中作出响应或提供承诺书并加盖公章视为满足采购需求。）</w:t>
            </w:r>
            <w:r>
              <w:rPr>
                <w:rFonts w:hint="eastAsia" w:ascii="宋体" w:hAnsi="宋体" w:eastAsia="宋体" w:cs="宋体"/>
                <w:color w:val="auto"/>
                <w:highlight w:val="none"/>
              </w:rPr>
              <w:t xml:space="preserve"> </w:t>
            </w:r>
          </w:p>
          <w:p w14:paraId="2192CFAD">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4、中标人在服务期内出现以下情形之一的，采购人有权单方终止合同： </w:t>
            </w:r>
          </w:p>
          <w:p w14:paraId="1CC38676">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（1）签订合同后无正当理由不接受委托的； </w:t>
            </w:r>
          </w:p>
          <w:p w14:paraId="57D37D19">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（2）年检不合格或存在违法违规行为的； </w:t>
            </w:r>
          </w:p>
          <w:p w14:paraId="3FA1751E">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（3）在服务期内累计2次不配合采购人工作的； </w:t>
            </w:r>
          </w:p>
          <w:p w14:paraId="3D5E87C0">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（4）考核程序不符合有关法律、法规、规章规定的； </w:t>
            </w:r>
          </w:p>
          <w:p w14:paraId="0EA4FED5">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（5）与采购人或有关人员存在恶意串通的。 </w:t>
            </w:r>
          </w:p>
          <w:p w14:paraId="743C51D0">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5、中标人应当配合采购人，完成其他与</w:t>
            </w:r>
            <w:r>
              <w:rPr>
                <w:rFonts w:hint="eastAsia" w:ascii="宋体" w:hAnsi="宋体" w:eastAsia="宋体" w:cs="宋体"/>
                <w:color w:val="auto"/>
                <w:highlight w:val="none"/>
                <w:lang w:val="en-US" w:eastAsia="zh-CN"/>
              </w:rPr>
              <w:t>本项目</w:t>
            </w:r>
            <w:r>
              <w:rPr>
                <w:rFonts w:hint="eastAsia" w:ascii="宋体" w:hAnsi="宋体" w:eastAsia="宋体" w:cs="宋体"/>
                <w:color w:val="auto"/>
                <w:highlight w:val="none"/>
              </w:rPr>
              <w:t>服务内容相关的工作。</w:t>
            </w:r>
          </w:p>
          <w:p w14:paraId="5E7C68E4">
            <w:pPr>
              <w:keepNext w:val="0"/>
              <w:keepLines w:val="0"/>
              <w:pageBreakBefore w:val="0"/>
              <w:numPr>
                <w:ilvl w:val="0"/>
                <w:numId w:val="0"/>
              </w:numPr>
              <w:kinsoku/>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6、竣工资料归档要求：各部分的工程档案资料必须符合国家有关档案管理规定的要求，在项目施工过程应及时做好收集、汇总和整理工作。</w:t>
            </w:r>
          </w:p>
          <w:p w14:paraId="0E5C6FB9">
            <w:pPr>
              <w:keepNext w:val="0"/>
              <w:keepLines w:val="0"/>
              <w:pageBreakBefore w:val="0"/>
              <w:numPr>
                <w:ilvl w:val="0"/>
                <w:numId w:val="0"/>
              </w:numPr>
              <w:kinsoku/>
              <w:overflowPunct/>
              <w:topLinePunct w:val="0"/>
              <w:autoSpaceDE/>
              <w:autoSpaceDN/>
              <w:bidi w:val="0"/>
              <w:adjustRightInd/>
              <w:snapToGrid/>
              <w:spacing w:line="240" w:lineRule="auto"/>
              <w:ind w:firstLine="211" w:firstLineChars="100"/>
              <w:textAlignment w:val="auto"/>
              <w:rPr>
                <w:rFonts w:hint="eastAsia" w:ascii="宋体" w:hAnsi="宋体" w:eastAsia="宋体" w:cs="宋体"/>
                <w:color w:val="auto"/>
                <w:highlight w:val="none"/>
              </w:rPr>
            </w:pPr>
            <w:r>
              <w:rPr>
                <w:rFonts w:hint="eastAsia" w:ascii="宋体" w:hAnsi="宋体" w:cs="宋体"/>
                <w:b/>
                <w:bCs/>
                <w:color w:val="auto"/>
                <w:highlight w:val="none"/>
              </w:rPr>
              <w:t>★</w:t>
            </w:r>
            <w:r>
              <w:rPr>
                <w:rFonts w:hint="eastAsia" w:ascii="宋体" w:hAnsi="宋体" w:cs="宋体"/>
                <w:b/>
                <w:bCs/>
                <w:color w:val="auto"/>
                <w:highlight w:val="none"/>
                <w:lang w:val="en-US" w:eastAsia="zh-CN"/>
              </w:rPr>
              <w:t>7、</w:t>
            </w:r>
            <w:r>
              <w:rPr>
                <w:rFonts w:hint="eastAsia" w:ascii="宋体" w:hAnsi="宋体" w:cs="宋体"/>
                <w:b/>
                <w:bCs/>
                <w:color w:val="auto"/>
                <w:highlight w:val="none"/>
              </w:rPr>
              <w:t>合同期限内，</w:t>
            </w:r>
            <w:r>
              <w:rPr>
                <w:rFonts w:hint="eastAsia" w:ascii="宋体" w:hAnsi="宋体" w:cs="宋体"/>
                <w:b/>
                <w:bCs/>
                <w:color w:val="auto"/>
                <w:highlight w:val="none"/>
                <w:lang w:val="en-US" w:eastAsia="zh-CN"/>
              </w:rPr>
              <w:t>采购人</w:t>
            </w:r>
            <w:r>
              <w:rPr>
                <w:rFonts w:hint="eastAsia" w:ascii="宋体" w:hAnsi="宋体" w:cs="宋体"/>
                <w:b/>
                <w:bCs/>
                <w:color w:val="auto"/>
                <w:highlight w:val="none"/>
              </w:rPr>
              <w:t>新增接收上级部门移交管理的道路或其他区域内所有市政设施，</w:t>
            </w:r>
            <w:r>
              <w:rPr>
                <w:rFonts w:hint="eastAsia" w:ascii="宋体" w:hAnsi="宋体" w:cs="宋体"/>
                <w:b/>
                <w:bCs/>
                <w:color w:val="auto"/>
                <w:highlight w:val="none"/>
                <w:lang w:val="en-US" w:eastAsia="zh-CN"/>
              </w:rPr>
              <w:t>中标人</w:t>
            </w:r>
            <w:r>
              <w:rPr>
                <w:rFonts w:hint="eastAsia" w:ascii="宋体" w:hAnsi="宋体" w:cs="宋体"/>
                <w:b/>
                <w:bCs/>
                <w:color w:val="auto"/>
                <w:highlight w:val="none"/>
              </w:rPr>
              <w:t>均需无条件接收管养，</w:t>
            </w:r>
            <w:r>
              <w:rPr>
                <w:rFonts w:hint="eastAsia" w:ascii="宋体" w:hAnsi="宋体" w:cs="宋体"/>
                <w:b/>
                <w:bCs/>
                <w:color w:val="auto"/>
                <w:highlight w:val="none"/>
                <w:lang w:val="en-US" w:eastAsia="zh-CN"/>
              </w:rPr>
              <w:t>中标人</w:t>
            </w:r>
            <w:r>
              <w:rPr>
                <w:rFonts w:hint="eastAsia" w:ascii="宋体" w:hAnsi="宋体" w:cs="宋体"/>
                <w:b/>
                <w:bCs/>
                <w:color w:val="auto"/>
                <w:highlight w:val="none"/>
              </w:rPr>
              <w:t>必须配合采购人在一个月内完成移交手续工作，超期扣款，并纳入年度考评。</w:t>
            </w:r>
          </w:p>
        </w:tc>
      </w:tr>
    </w:tbl>
    <w:p w14:paraId="5DC8D8CE">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b/>
          <w:color w:val="auto"/>
          <w:highlight w:val="none"/>
        </w:rPr>
        <w:t>2.技术标准与要求</w:t>
      </w:r>
    </w:p>
    <w:p w14:paraId="07F970DB">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5"/>
        <w:gridCol w:w="754"/>
        <w:gridCol w:w="973"/>
        <w:gridCol w:w="566"/>
        <w:gridCol w:w="703"/>
        <w:gridCol w:w="1581"/>
        <w:gridCol w:w="1476"/>
        <w:gridCol w:w="772"/>
        <w:gridCol w:w="566"/>
        <w:gridCol w:w="566"/>
      </w:tblGrid>
      <w:tr w14:paraId="50ACCC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5" w:type="dxa"/>
          </w:tcPr>
          <w:p w14:paraId="413ECE43">
            <w:pPr>
              <w:keepNext w:val="0"/>
              <w:keepLines w:val="0"/>
              <w:pageBreakBefore w:val="0"/>
              <w:kinsoku/>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754" w:type="dxa"/>
          </w:tcPr>
          <w:p w14:paraId="41E82F8E">
            <w:pPr>
              <w:keepNext w:val="0"/>
              <w:keepLines w:val="0"/>
              <w:pageBreakBefore w:val="0"/>
              <w:kinsoku/>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品目名称</w:t>
            </w:r>
          </w:p>
        </w:tc>
        <w:tc>
          <w:tcPr>
            <w:tcW w:w="973" w:type="dxa"/>
          </w:tcPr>
          <w:p w14:paraId="039EE689">
            <w:pPr>
              <w:keepNext w:val="0"/>
              <w:keepLines w:val="0"/>
              <w:pageBreakBefore w:val="0"/>
              <w:kinsoku/>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标的名称</w:t>
            </w:r>
          </w:p>
        </w:tc>
        <w:tc>
          <w:tcPr>
            <w:tcW w:w="566" w:type="dxa"/>
          </w:tcPr>
          <w:p w14:paraId="5335A08F">
            <w:pPr>
              <w:keepNext w:val="0"/>
              <w:keepLines w:val="0"/>
              <w:pageBreakBefore w:val="0"/>
              <w:kinsoku/>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单位</w:t>
            </w:r>
          </w:p>
        </w:tc>
        <w:tc>
          <w:tcPr>
            <w:tcW w:w="703" w:type="dxa"/>
          </w:tcPr>
          <w:p w14:paraId="01AE9563">
            <w:pPr>
              <w:keepNext w:val="0"/>
              <w:keepLines w:val="0"/>
              <w:pageBreakBefore w:val="0"/>
              <w:kinsoku/>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数量</w:t>
            </w:r>
          </w:p>
        </w:tc>
        <w:tc>
          <w:tcPr>
            <w:tcW w:w="1581" w:type="dxa"/>
          </w:tcPr>
          <w:p w14:paraId="5122EFCC">
            <w:pPr>
              <w:keepNext w:val="0"/>
              <w:keepLines w:val="0"/>
              <w:pageBreakBefore w:val="0"/>
              <w:kinsoku/>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分项预算单价（元）</w:t>
            </w:r>
          </w:p>
        </w:tc>
        <w:tc>
          <w:tcPr>
            <w:tcW w:w="1476" w:type="dxa"/>
          </w:tcPr>
          <w:p w14:paraId="3B1BFBF3">
            <w:pPr>
              <w:keepNext w:val="0"/>
              <w:keepLines w:val="0"/>
              <w:pageBreakBefore w:val="0"/>
              <w:kinsoku/>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分项预算总价（元）</w:t>
            </w:r>
          </w:p>
        </w:tc>
        <w:tc>
          <w:tcPr>
            <w:tcW w:w="772" w:type="dxa"/>
          </w:tcPr>
          <w:p w14:paraId="5C01AEE6">
            <w:pPr>
              <w:keepNext w:val="0"/>
              <w:keepLines w:val="0"/>
              <w:pageBreakBefore w:val="0"/>
              <w:kinsoku/>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权重%</w:t>
            </w:r>
          </w:p>
        </w:tc>
        <w:tc>
          <w:tcPr>
            <w:tcW w:w="566" w:type="dxa"/>
          </w:tcPr>
          <w:p w14:paraId="13F86D20">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所属行业</w:t>
            </w:r>
          </w:p>
        </w:tc>
        <w:tc>
          <w:tcPr>
            <w:tcW w:w="566" w:type="dxa"/>
          </w:tcPr>
          <w:p w14:paraId="478A5548">
            <w:pPr>
              <w:keepNext w:val="0"/>
              <w:keepLines w:val="0"/>
              <w:pageBreakBefore w:val="0"/>
              <w:kinsoku/>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技术要求</w:t>
            </w:r>
          </w:p>
        </w:tc>
      </w:tr>
      <w:tr w14:paraId="7DE917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5" w:type="dxa"/>
          </w:tcPr>
          <w:p w14:paraId="456F2069">
            <w:pPr>
              <w:keepNext w:val="0"/>
              <w:keepLines w:val="0"/>
              <w:pageBreakBefore w:val="0"/>
              <w:kinsoku/>
              <w:overflowPunct/>
              <w:topLinePunct w:val="0"/>
              <w:autoSpaceDE/>
              <w:autoSpaceDN/>
              <w:bidi w:val="0"/>
              <w:adjustRightInd/>
              <w:snapToGrid/>
              <w:spacing w:line="24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754" w:type="dxa"/>
          </w:tcPr>
          <w:p w14:paraId="7F4CCE6D">
            <w:pPr>
              <w:keepNext w:val="0"/>
              <w:keepLines w:val="0"/>
              <w:pageBreakBefore w:val="0"/>
              <w:kinsoku/>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市政公用设施管理服务</w:t>
            </w:r>
          </w:p>
        </w:tc>
        <w:tc>
          <w:tcPr>
            <w:tcW w:w="973" w:type="dxa"/>
          </w:tcPr>
          <w:p w14:paraId="5C801C99">
            <w:pPr>
              <w:keepNext w:val="0"/>
              <w:keepLines w:val="0"/>
              <w:pageBreakBefore w:val="0"/>
              <w:kinsoku/>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民众街道2026年至2029年度市政设施维护管养项目</w:t>
            </w:r>
          </w:p>
        </w:tc>
        <w:tc>
          <w:tcPr>
            <w:tcW w:w="566" w:type="dxa"/>
          </w:tcPr>
          <w:p w14:paraId="29C85ABD">
            <w:pPr>
              <w:keepNext w:val="0"/>
              <w:keepLines w:val="0"/>
              <w:pageBreakBefore w:val="0"/>
              <w:kinsoku/>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年</w:t>
            </w:r>
          </w:p>
        </w:tc>
        <w:tc>
          <w:tcPr>
            <w:tcW w:w="703" w:type="dxa"/>
          </w:tcPr>
          <w:p w14:paraId="6462892D">
            <w:pPr>
              <w:keepNext w:val="0"/>
              <w:keepLines w:val="0"/>
              <w:pageBreakBefore w:val="0"/>
              <w:kinsoku/>
              <w:overflowPunct/>
              <w:topLinePunct w:val="0"/>
              <w:autoSpaceDE/>
              <w:autoSpaceDN/>
              <w:bidi w:val="0"/>
              <w:adjustRightInd/>
              <w:snapToGrid/>
              <w:spacing w:line="240" w:lineRule="auto"/>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3.00</w:t>
            </w:r>
          </w:p>
        </w:tc>
        <w:tc>
          <w:tcPr>
            <w:tcW w:w="1581" w:type="dxa"/>
          </w:tcPr>
          <w:p w14:paraId="2B7735D5">
            <w:pPr>
              <w:keepNext w:val="0"/>
              <w:keepLines w:val="0"/>
              <w:pageBreakBefore w:val="0"/>
              <w:kinsoku/>
              <w:overflowPunct/>
              <w:topLinePunct w:val="0"/>
              <w:autoSpaceDE/>
              <w:autoSpaceDN/>
              <w:bidi w:val="0"/>
              <w:adjustRightInd/>
              <w:snapToGrid/>
              <w:spacing w:line="240" w:lineRule="auto"/>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22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575</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600</w:t>
            </w:r>
            <w:r>
              <w:rPr>
                <w:rFonts w:hint="eastAsia" w:ascii="宋体" w:hAnsi="宋体" w:eastAsia="宋体" w:cs="宋体"/>
                <w:color w:val="auto"/>
                <w:highlight w:val="none"/>
                <w:lang w:val="en-US" w:eastAsia="zh-CN"/>
              </w:rPr>
              <w:t>.00</w:t>
            </w:r>
          </w:p>
        </w:tc>
        <w:tc>
          <w:tcPr>
            <w:tcW w:w="1476" w:type="dxa"/>
          </w:tcPr>
          <w:p w14:paraId="4FFBAB10">
            <w:pPr>
              <w:keepNext w:val="0"/>
              <w:keepLines w:val="0"/>
              <w:pageBreakBefore w:val="0"/>
              <w:kinsoku/>
              <w:overflowPunct/>
              <w:topLinePunct w:val="0"/>
              <w:autoSpaceDE/>
              <w:autoSpaceDN/>
              <w:bidi w:val="0"/>
              <w:adjustRightInd/>
              <w:snapToGrid/>
              <w:spacing w:line="240" w:lineRule="auto"/>
              <w:jc w:val="righ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7,525,200</w:t>
            </w:r>
            <w:r>
              <w:rPr>
                <w:rFonts w:hint="eastAsia" w:ascii="宋体" w:hAnsi="宋体" w:eastAsia="宋体" w:cs="宋体"/>
                <w:color w:val="auto"/>
                <w:highlight w:val="none"/>
                <w:lang w:val="en-US" w:eastAsia="zh-CN"/>
              </w:rPr>
              <w:t>.00</w:t>
            </w:r>
          </w:p>
        </w:tc>
        <w:tc>
          <w:tcPr>
            <w:tcW w:w="772" w:type="dxa"/>
          </w:tcPr>
          <w:p w14:paraId="0D2272C4">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100.0</w:t>
            </w:r>
          </w:p>
        </w:tc>
        <w:tc>
          <w:tcPr>
            <w:tcW w:w="566" w:type="dxa"/>
          </w:tcPr>
          <w:p w14:paraId="344FEE7E">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其他未列明行业</w:t>
            </w:r>
          </w:p>
        </w:tc>
        <w:tc>
          <w:tcPr>
            <w:tcW w:w="566" w:type="dxa"/>
          </w:tcPr>
          <w:p w14:paraId="4E6CB8F0">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详见附表一</w:t>
            </w:r>
          </w:p>
        </w:tc>
      </w:tr>
    </w:tbl>
    <w:p w14:paraId="6E4F66A0">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备注：最终综合总报价=（各产品报价×各项产品权重）的相加值</w:t>
      </w:r>
    </w:p>
    <w:p w14:paraId="581ABFE6">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p>
    <w:p w14:paraId="75C2F032">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lang w:eastAsia="zh-CN"/>
        </w:rPr>
      </w:pPr>
      <w:r>
        <w:rPr>
          <w:rFonts w:hint="eastAsia" w:ascii="宋体" w:hAnsi="宋体" w:eastAsia="宋体" w:cs="宋体"/>
          <w:b/>
          <w:color w:val="auto"/>
          <w:highlight w:val="none"/>
        </w:rPr>
        <w:t>附表一：</w:t>
      </w:r>
      <w:r>
        <w:rPr>
          <w:rFonts w:hint="eastAsia" w:ascii="宋体" w:hAnsi="宋体" w:cs="宋体"/>
          <w:b/>
          <w:color w:val="auto"/>
          <w:highlight w:val="none"/>
          <w:lang w:eastAsia="zh-CN"/>
        </w:rPr>
        <w:t>民众街道2026年至2029年度市政设施维护管养项目</w:t>
      </w:r>
    </w:p>
    <w:tbl>
      <w:tblPr>
        <w:tblStyle w:val="5"/>
        <w:tblW w:w="859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7"/>
        <w:gridCol w:w="587"/>
        <w:gridCol w:w="7250"/>
      </w:tblGrid>
      <w:tr w14:paraId="7DB5C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7" w:type="dxa"/>
          </w:tcPr>
          <w:p w14:paraId="10128041">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参数性质</w:t>
            </w:r>
          </w:p>
        </w:tc>
        <w:tc>
          <w:tcPr>
            <w:tcW w:w="587" w:type="dxa"/>
          </w:tcPr>
          <w:p w14:paraId="3C11B9D3">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7250" w:type="dxa"/>
          </w:tcPr>
          <w:p w14:paraId="4AF8F0C3">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具体技术(参数)要求</w:t>
            </w:r>
          </w:p>
        </w:tc>
      </w:tr>
      <w:tr w14:paraId="6E41A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7" w:type="dxa"/>
          </w:tcPr>
          <w:p w14:paraId="1F7AD3EF">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p>
        </w:tc>
        <w:tc>
          <w:tcPr>
            <w:tcW w:w="587" w:type="dxa"/>
          </w:tcPr>
          <w:p w14:paraId="2B84CE9D">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p>
        </w:tc>
        <w:tc>
          <w:tcPr>
            <w:tcW w:w="7250" w:type="dxa"/>
          </w:tcPr>
          <w:p w14:paraId="08712767">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b/>
                <w:color w:val="auto"/>
                <w:sz w:val="21"/>
                <w:highlight w:val="none"/>
                <w:lang w:val="en-US" w:eastAsia="zh-CN"/>
              </w:rPr>
              <w:t>详见《采购需求》内容</w:t>
            </w:r>
          </w:p>
        </w:tc>
      </w:tr>
      <w:tr w14:paraId="67B7D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7" w:type="dxa"/>
          </w:tcPr>
          <w:p w14:paraId="3AA4A1ED">
            <w:pPr>
              <w:keepNext w:val="0"/>
              <w:keepLines w:val="0"/>
              <w:pageBreakBefore w:val="0"/>
              <w:kinsoku/>
              <w:overflowPunct/>
              <w:topLinePunct w:val="0"/>
              <w:autoSpaceDE/>
              <w:autoSpaceDN/>
              <w:bidi w:val="0"/>
              <w:adjustRightInd/>
              <w:snapToGri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说明</w:t>
            </w:r>
          </w:p>
        </w:tc>
        <w:tc>
          <w:tcPr>
            <w:tcW w:w="7837" w:type="dxa"/>
            <w:gridSpan w:val="2"/>
          </w:tcPr>
          <w:p w14:paraId="4C7EA2BC">
            <w:pPr>
              <w:keepNext w:val="0"/>
              <w:keepLines w:val="0"/>
              <w:pageBreakBefore w:val="0"/>
              <w:kinsoku/>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打“★”号条款为实质性条款，若有任何一条负偏离或不满足则导致投标无效。</w:t>
            </w:r>
            <w:r>
              <w:rPr>
                <w:rFonts w:hint="eastAsia" w:ascii="宋体" w:hAnsi="宋体" w:eastAsia="宋体" w:cs="宋体"/>
                <w:color w:val="auto"/>
                <w:highlight w:val="none"/>
              </w:rPr>
              <w:br w:type="textWrapping"/>
            </w:r>
            <w:r>
              <w:rPr>
                <w:rFonts w:hint="eastAsia" w:ascii="宋体" w:hAnsi="宋体" w:eastAsia="宋体" w:cs="宋体"/>
                <w:color w:val="auto"/>
                <w:highlight w:val="none"/>
              </w:rPr>
              <w:t>打“▲”号条款为重要技术参数，若有部分“▲”条款未响应或不满足，将导致其响应性评审加重扣分，但不作为无效投标条款。</w:t>
            </w:r>
          </w:p>
        </w:tc>
      </w:tr>
    </w:tbl>
    <w:p w14:paraId="24E06D66">
      <w:pPr>
        <w:keepNext w:val="0"/>
        <w:keepLines w:val="0"/>
        <w:pageBreakBefore w:val="0"/>
        <w:kinsoku/>
        <w:overflowPunct/>
        <w:topLinePunct w:val="0"/>
        <w:autoSpaceDE/>
        <w:autoSpaceDN/>
        <w:bidi w:val="0"/>
        <w:adjustRightInd/>
        <w:snapToGrid/>
        <w:spacing w:line="240" w:lineRule="auto"/>
        <w:textAlignment w:val="auto"/>
        <w:rPr>
          <w:color w:val="auto"/>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679E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0F2F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60F2F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856951"/>
    <w:rsid w:val="0C3923C8"/>
    <w:rsid w:val="1606156C"/>
    <w:rsid w:val="19410B0E"/>
    <w:rsid w:val="1D886D0B"/>
    <w:rsid w:val="299F78B6"/>
    <w:rsid w:val="2E1168A9"/>
    <w:rsid w:val="3D22524F"/>
    <w:rsid w:val="3EE002FD"/>
    <w:rsid w:val="43CC70A2"/>
    <w:rsid w:val="47B14816"/>
    <w:rsid w:val="4AAA1F3C"/>
    <w:rsid w:val="4B856951"/>
    <w:rsid w:val="4F972052"/>
    <w:rsid w:val="6BDC39EC"/>
    <w:rsid w:val="72B556A2"/>
    <w:rsid w:val="7F751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widowControl/>
      <w:jc w:val="left"/>
    </w:pPr>
    <w:rPr>
      <w:kern w:val="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8846</Words>
  <Characters>9206</Characters>
  <Lines>0</Lines>
  <Paragraphs>0</Paragraphs>
  <TotalTime>36</TotalTime>
  <ScaleCrop>false</ScaleCrop>
  <LinksUpToDate>false</LinksUpToDate>
  <CharactersWithSpaces>9212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2026-06-26T02:26:00Z</dcterms:created>
  <dc:creator>平&amp;静</dc:creator>
  <cp:lastModifiedBy>平&amp;静</cp:lastModifiedBy>
  <dcterms:modified xsi:type="dcterms:W3CDTF">2026-07-02T08:14:15Z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C8E25496303F48AF802F975E3A774D24_13</vt:lpwstr>
  </property>
  <property fmtid="{D5CDD505-2E9C-101B-9397-08002B2CF9AE}" pid="4" name="KSOTemplateDocerSaveRecord">
    <vt:lpwstr>eyJoZGlkIjoiNDM0YzgwODkxNmE4OWUxMGYxYmU0YjZlMDgwMDM1MzUiLCJ1c2VySWQiOiI2Njg2NDMyOTcifQ==</vt:lpwstr>
  </property>
</Properties>
</file>